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sz w:val="30"/>
        </w:rPr>
      </w:pPr>
    </w:p>
    <w:p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苏州市市级预算部门（单位）整体支出预算绩效自评报告</w:t>
      </w:r>
    </w:p>
    <w:p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（2023年度）</w:t>
      </w:r>
    </w:p>
    <w:p>
      <w:pPr>
        <w:spacing w:line="360" w:lineRule="auto"/>
        <w:jc w:val="center"/>
        <w:rPr>
          <w:rFonts w:eastAsia="仿宋_GB2312"/>
          <w:sz w:val="30"/>
        </w:rPr>
      </w:pPr>
    </w:p>
    <w:p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一、预算部门名称：</w:t>
      </w:r>
      <w:r>
        <w:rPr>
          <w:rFonts w:hint="eastAsia" w:ascii="宋体" w:hAnsi="宋体" w:cs="宋体"/>
          <w:sz w:val="24"/>
        </w:rPr>
        <w:t>苏州市市级机关物业管理中心</w:t>
      </w:r>
    </w:p>
    <w:p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二、</w:t>
      </w:r>
      <w:r>
        <w:rPr>
          <w:rFonts w:ascii="黑体" w:hAnsi="黑体" w:eastAsia="黑体"/>
          <w:sz w:val="30"/>
        </w:rPr>
        <w:t>年度履职目标完成情况</w:t>
      </w:r>
      <w:r>
        <w:rPr>
          <w:rFonts w:hint="eastAsia" w:ascii="黑体" w:hAnsi="黑体" w:eastAsia="黑体"/>
          <w:sz w:val="30"/>
        </w:rPr>
        <w:t>：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2023年，市级机关物业管理中心紧紧围绕年度工作要点，扎实做好市级党政机关集中办公区的后勤服务管理保障工作，稳步推进相关工作的开展，不断提升后勤服务保障各项标准化工作，坚持以后勤服务保障工作的“节约”、“暖心”、“舒心”的服务宗旨，为服务对象提供优质的后勤服务保障。今年</w:t>
      </w:r>
      <w:bookmarkStart w:id="0" w:name="_GoBack"/>
      <w:bookmarkEnd w:id="0"/>
      <w:r>
        <w:rPr>
          <w:rFonts w:hint="eastAsia" w:ascii="宋体" w:hAnsi="宋体" w:cs="宋体"/>
          <w:sz w:val="24"/>
        </w:rPr>
        <w:t>，机关物业中心各部门根据主管局相关制度，结合工作实际进一步建立健全各项规章制度，理顺办事流程。全中心上下以提升服务品质为核心、以创新工作方式为手段，努力改进工作品质、提升服务质量，提高了各部门问题处理能力及后勤服务一线工作人员办事效率。充分结合智慧后勤建设情况，凝炼后勤文化品牌，打造了一支“快速响应”、“服务精细”、“工作暖心”的精锐后勤保障队伍；主动走近服务对象，全面了解和掌握大院干部职工需求。通过改进工作作风，提升服务效能，创新服务举措，不断拉近与服务对象的距离，精准提供服务对象需要的暖心服务，提高后勤服务满意度；在结合过紧日子要求及预算管理安排的前提下，合理使用资源，加强成本核算，节约资金资源，摸清底数，总结掌握规律，制定落实节约措施，弘扬艰苦奋斗勤俭节约的精神，落实重点资金使用责任目标，强化监督管理，确保资金有序规范使用；依托后勤先锋行动支部引领，进一步优化网格化管理工作，创新“内循环”工作模式：网格管理中出现的问题在“直接负责人、网格巡查人、团队负责人”三个层面“内循环”解决。建立了层级负责、专业监管、全面覆盖的管理工作模式。通过细化服务分工、规范服务标准、监控服务动态、强化服务监管、落实责任制度，将后勤服务变被动为主动，变静态为动态，提升了发现问题、解决问题的能力，确保责任全覆盖、服务全方位；认真落实后勤服务保障各部门各环节的安全生产责任制，包括食品安全、设施设备安全、信息保密相关安全、工作人员生产操作安全、相关岗位廉政风险点安全等，进一步了加强了工作人员安全责任意识，提升了物业管理中心整体的战斗力。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三、部门（单位）概况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1.</w:t>
      </w:r>
      <w:r>
        <w:rPr>
          <w:rFonts w:hint="eastAsia" w:ascii="宋体" w:hAnsi="宋体" w:cs="宋体"/>
          <w:sz w:val="24"/>
        </w:rPr>
        <w:t>拟定市级机关物业管理标准并组织实施，为机关后勤管理提供保障服务。</w:t>
      </w:r>
      <w:r>
        <w:rPr>
          <w:rFonts w:hint="eastAsia" w:ascii="宋体" w:hAnsi="宋体" w:cs="宋体"/>
          <w:sz w:val="24"/>
          <w:lang w:val="en-US" w:eastAsia="zh-CN"/>
        </w:rPr>
        <w:t>2.</w:t>
      </w:r>
      <w:r>
        <w:rPr>
          <w:rFonts w:hint="eastAsia" w:ascii="宋体" w:hAnsi="宋体" w:cs="宋体"/>
          <w:sz w:val="24"/>
        </w:rPr>
        <w:t>协助审核市级机关各部门基础设施设备维保、采购及运行费用拨付等方面的资金使用。</w:t>
      </w:r>
      <w:r>
        <w:rPr>
          <w:rFonts w:hint="eastAsia" w:ascii="宋体" w:hAnsi="宋体" w:cs="宋体"/>
          <w:sz w:val="24"/>
          <w:lang w:val="en-US" w:eastAsia="zh-CN"/>
        </w:rPr>
        <w:t>3.</w:t>
      </w:r>
      <w:r>
        <w:rPr>
          <w:rFonts w:hint="eastAsia" w:ascii="宋体" w:hAnsi="宋体" w:cs="宋体"/>
          <w:sz w:val="24"/>
        </w:rPr>
        <w:t>参与有关机关后勤服务的设备、外包服务和零星维修工程的采购招标工作，并做好工程考核及经费拨付。</w:t>
      </w:r>
      <w:r>
        <w:rPr>
          <w:rFonts w:hint="eastAsia" w:ascii="宋体" w:hAnsi="宋体" w:cs="宋体"/>
          <w:sz w:val="24"/>
          <w:lang w:val="en-US" w:eastAsia="zh-CN"/>
        </w:rPr>
        <w:t>4.</w:t>
      </w:r>
      <w:r>
        <w:rPr>
          <w:rFonts w:hint="eastAsia" w:ascii="宋体" w:hAnsi="宋体" w:cs="宋体"/>
          <w:sz w:val="24"/>
        </w:rPr>
        <w:t>负责全市机关后勤工作的信息沟通与协调。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四、部门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整体支出绩效实现情况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2023年全年预算数共计15185.33万元，预算支出共计14911.68万元，其中：基本支出899.47万元，项目支出14012.21万元；全年单位整体支出绩效目标实现较好，全面完成绩效目标任务。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五、部门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整体支出绩效中存</w:t>
      </w:r>
      <w:r>
        <w:rPr>
          <w:rFonts w:ascii="黑体" w:hAnsi="黑体" w:eastAsia="黑体"/>
          <w:sz w:val="30"/>
        </w:rPr>
        <w:t>在问题</w:t>
      </w:r>
      <w:r>
        <w:rPr>
          <w:rFonts w:hint="eastAsia" w:ascii="黑体" w:hAnsi="黑体" w:eastAsia="黑体"/>
          <w:sz w:val="30"/>
        </w:rPr>
        <w:t>及</w:t>
      </w:r>
      <w:r>
        <w:rPr>
          <w:rFonts w:ascii="黑体" w:hAnsi="黑体" w:eastAsia="黑体"/>
          <w:sz w:val="30"/>
        </w:rPr>
        <w:t>改进措施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进一步加强预算编制管理，预算编制工作有待细化，预算的执行力度仍需加强，提高预算绩效编制的科学性、合理性、严谨性和可控性；同时加强资金使用管理，开展项目绩效评价，科学、合理安排支出项目。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六、</w:t>
      </w:r>
      <w:r>
        <w:rPr>
          <w:rFonts w:ascii="黑体" w:hAnsi="黑体" w:eastAsia="黑体"/>
          <w:sz w:val="30"/>
        </w:rPr>
        <w:t>绩效自评</w:t>
      </w:r>
      <w:r>
        <w:rPr>
          <w:rFonts w:hint="eastAsia" w:ascii="黑体" w:hAnsi="黑体" w:eastAsia="黑体"/>
          <w:sz w:val="30"/>
        </w:rPr>
        <w:t>结果</w:t>
      </w:r>
      <w:r>
        <w:rPr>
          <w:rFonts w:ascii="黑体" w:hAnsi="黑体" w:eastAsia="黑体"/>
          <w:sz w:val="30"/>
        </w:rPr>
        <w:t>拟应用和公开</w:t>
      </w:r>
      <w:r>
        <w:rPr>
          <w:rFonts w:hint="eastAsia" w:ascii="黑体" w:hAnsi="黑体" w:eastAsia="黑体"/>
          <w:sz w:val="30"/>
        </w:rPr>
        <w:t>情况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按照公开要求完成公开。</w:t>
      </w:r>
    </w:p>
    <w:p>
      <w:pPr>
        <w:spacing w:line="360" w:lineRule="auto"/>
        <w:rPr>
          <w:rFonts w:ascii="黑体" w:hAnsi="黑体" w:eastAsia="黑体"/>
          <w:sz w:val="30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40"/>
          <w:pgMar w:top="1247" w:right="1400" w:bottom="1089" w:left="1559" w:header="851" w:footer="992" w:gutter="0"/>
          <w:paperSrc w:first="15" w:other="15"/>
          <w:cols w:space="720" w:num="1"/>
          <w:docGrid w:type="lines" w:linePitch="312" w:charSpace="0"/>
        </w:sectPr>
      </w:pPr>
    </w:p>
    <w:p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预算信息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44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268"/>
        <w:gridCol w:w="2268"/>
        <w:gridCol w:w="2268"/>
        <w:gridCol w:w="2268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079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本年度预算资金（万元）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上年度结转及当年预算追加追减数(万元）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执行率（%)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15998.56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-813.23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15185.33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14911.67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98.20%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725.5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237.27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962.77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899.47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93.43%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15273.06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-1050.5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14222.56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14012.21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98.52%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房产管理及运维等费用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6229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-1050.5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5178.5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5121.87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98.91%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体检费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10.26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10.26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10.26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租赁费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490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490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482.32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98.43%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大院物业托管经费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3400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3400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3389.82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99.70%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大院水电气通讯费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2140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2140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2006.89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93.78%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厨房灶区油烟排风系统整改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77.39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96.74%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食堂餐费补助专项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1800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1800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1800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日常维修维护费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330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330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330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党团活动经费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3.66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96.32%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四大中心食堂补助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790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790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790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100.00%</w:t>
            </w:r>
          </w:p>
        </w:tc>
      </w:tr>
    </w:tbl>
    <w:p>
      <w:pPr>
        <w:spacing w:line="360" w:lineRule="auto"/>
        <w:ind w:left="600"/>
        <w:rPr>
          <w:rFonts w:ascii="黑体" w:hAnsi="黑体" w:eastAsia="黑体"/>
          <w:sz w:val="30"/>
        </w:rPr>
      </w:pPr>
    </w:p>
    <w:p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年度重点任务</w:t>
      </w:r>
    </w:p>
    <w:p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3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9"/>
        <w:gridCol w:w="3818"/>
        <w:gridCol w:w="6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419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对应部门主要职责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3818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负责办公用房租赁工作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相关过渡单位办公用房租赁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完成签订办公用房租赁及物业服务合同，及时保障好相关单位办公用房及物业服务。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负责食堂服务保障工作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四大中心食堂工作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根据实际工作天数，保障好四大中心工作人员就餐。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大院食堂工作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根据实际工作天数，保障好工作人员就餐。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负责市级机关服务保障工作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完成设施设备等维护保养工作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及时完成设施设备的日常维修，及时处理报修工单，维修及时性和验收合格率得到有效提升。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保障四大中心运维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做好日常后勤服务工作，四大中心办公区域的环境得到有效改善和提升。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保障服务范围内水电通讯蒸汽燃气费用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保障办公区域内水电气通讯等费用，及时每月支付水电气通讯等费用。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完成保障范围内的物业服务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提升后勤服务质量，改进工作品质，提供优质的后勤服务保障。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保障办公区域正常有序运转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物业服务及时，保障好办公区域正常运转。</w:t>
            </w:r>
          </w:p>
        </w:tc>
      </w:tr>
    </w:tbl>
    <w:p>
      <w:pPr>
        <w:spacing w:line="360" w:lineRule="auto"/>
        <w:ind w:left="600"/>
        <w:rPr>
          <w:rFonts w:ascii="黑体" w:hAnsi="黑体" w:eastAsia="黑体"/>
          <w:sz w:val="30"/>
        </w:rPr>
      </w:pPr>
    </w:p>
    <w:p>
      <w:pPr>
        <w:spacing w:line="360" w:lineRule="auto"/>
        <w:ind w:left="600"/>
        <w:rPr>
          <w:rFonts w:ascii="黑体" w:hAnsi="黑体" w:eastAsia="黑体"/>
          <w:sz w:val="30"/>
        </w:rPr>
      </w:pPr>
    </w:p>
    <w:p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部门整体自评表</w:t>
      </w:r>
    </w:p>
    <w:tbl>
      <w:tblPr>
        <w:tblStyle w:val="5"/>
        <w:tblpPr w:leftFromText="180" w:rightFromText="180" w:vertAnchor="text" w:horzAnchor="page" w:tblpX="1656" w:tblpY="127"/>
        <w:tblOverlap w:val="never"/>
        <w:tblW w:w="146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67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51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>
            <w:pPr>
              <w:widowControl/>
              <w:jc w:val="center"/>
              <w:rPr>
                <w:rFonts w:ascii="黑体" w:hAnsi="黑体" w:eastAsia="黑体"/>
                <w:sz w:val="30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原因分析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分解目标</w:t>
            </w:r>
          </w:p>
        </w:tc>
        <w:tc>
          <w:tcPr>
            <w:tcW w:w="205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资金使用合规性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非税收入管理合规性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91.3%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-8.70%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业务学习与培训及时完成率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98.2%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-1.80%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98.2%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-1.80%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-5%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73.5%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-26.50%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对保障范围内办公环境的改善或提升程度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改善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改善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对单位履职提升程度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明显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明显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满意度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服务对象满意度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&gt;=90%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8.89%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内部就餐职工人次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=220000人次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220000人次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物业服务保障面积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&gt;=170000平方米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170000平方米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公共设施设备维护保养完好率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&gt;=90%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8.89%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物业服务完成及时性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伙食保障满足率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&gt;=90%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98%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8.89%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租赁场地面积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&gt;=5900平方米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5900平方米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水电通讯费等保障情况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伙食供应及时性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67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物业服务面积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&gt;=75000平方米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75000平方米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spacing w:line="360" w:lineRule="auto"/>
        <w:ind w:left="600"/>
        <w:rPr>
          <w:rFonts w:ascii="黑体" w:hAnsi="黑体" w:eastAsia="黑体"/>
          <w:sz w:val="30"/>
        </w:rPr>
      </w:pPr>
    </w:p>
    <w:sectPr>
      <w:headerReference r:id="rId7" w:type="default"/>
      <w:footerReference r:id="rId8" w:type="default"/>
      <w:pgSz w:w="16840" w:h="11907" w:orient="landscape"/>
      <w:pgMar w:top="1559" w:right="1247" w:bottom="1400" w:left="1089" w:header="851" w:footer="992" w:gutter="0"/>
      <w:paperSrc w:first="15" w:other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BB9F1"/>
    <w:multiLevelType w:val="singleLevel"/>
    <w:tmpl w:val="5D7BB9F1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2ZWIxNzBhOWM3YmNkMjVjMWZjMWQ2NzA4MDFlZmY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A64119"/>
    <w:rsid w:val="043D6C25"/>
    <w:rsid w:val="0462023C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51142D9"/>
    <w:rsid w:val="495323ED"/>
    <w:rsid w:val="4AF3601A"/>
    <w:rsid w:val="4BA315C9"/>
    <w:rsid w:val="4CC6446A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9486F"/>
    <w:rsid w:val="68DB6F84"/>
    <w:rsid w:val="6A1706CF"/>
    <w:rsid w:val="6A563FBC"/>
    <w:rsid w:val="6A7E3167"/>
    <w:rsid w:val="6D873407"/>
    <w:rsid w:val="6DA24319"/>
    <w:rsid w:val="6EA81B75"/>
    <w:rsid w:val="6EDA327B"/>
    <w:rsid w:val="6FE35A27"/>
    <w:rsid w:val="72167982"/>
    <w:rsid w:val="739B783A"/>
    <w:rsid w:val="75536D10"/>
    <w:rsid w:val="75B30C82"/>
    <w:rsid w:val="761D0E7A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已访问的超链接1"/>
    <w:qFormat/>
    <w:uiPriority w:val="0"/>
    <w:rPr>
      <w:color w:val="800080"/>
      <w:u w:val="single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3"/>
    <w:qFormat/>
    <w:uiPriority w:val="0"/>
    <w:rPr>
      <w:kern w:val="2"/>
      <w:sz w:val="18"/>
      <w:szCs w:val="18"/>
    </w:rPr>
  </w:style>
  <w:style w:type="paragraph" w:customStyle="1" w:styleId="13">
    <w:name w:val="目录 21"/>
    <w:basedOn w:val="1"/>
    <w:next w:val="1"/>
    <w:qFormat/>
    <w:uiPriority w:val="39"/>
    <w:pPr>
      <w:tabs>
        <w:tab w:val="right" w:leader="dot" w:pos="8494"/>
      </w:tabs>
      <w:spacing w:line="560" w:lineRule="exact"/>
      <w:ind w:left="210"/>
      <w:jc w:val="left"/>
    </w:pPr>
    <w:rPr>
      <w:rFonts w:ascii="仿宋_GB2312" w:hAnsi="Calibri" w:eastAsia="仿宋_GB2312" w:cs="Calibri"/>
      <w:smallCaps/>
      <w:sz w:val="28"/>
      <w:szCs w:val="28"/>
    </w:rPr>
  </w:style>
  <w:style w:type="paragraph" w:customStyle="1" w:styleId="14">
    <w:name w:val="目录 11"/>
    <w:basedOn w:val="1"/>
    <w:next w:val="1"/>
    <w:qFormat/>
    <w:uiPriority w:val="39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hAnsi="新宋体" w:eastAsia="仿宋_GB2312" w:cs="Calibri"/>
      <w:b/>
      <w:bCs/>
      <w:caps/>
      <w:sz w:val="28"/>
      <w:szCs w:val="28"/>
    </w:rPr>
  </w:style>
  <w:style w:type="paragraph" w:customStyle="1" w:styleId="15">
    <w:name w:val="Char Char Char Char Char Char Char"/>
    <w:basedOn w:val="1"/>
    <w:qFormat/>
    <w:uiPriority w:val="0"/>
    <w:rPr>
      <w:szCs w:val="21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czj</Company>
  <Pages>3</Pages>
  <Words>126</Words>
  <Characters>721</Characters>
  <Lines>6</Lines>
  <Paragraphs>1</Paragraphs>
  <TotalTime>46</TotalTime>
  <ScaleCrop>false</ScaleCrop>
  <LinksUpToDate>false</LinksUpToDate>
  <CharactersWithSpaces>846</CharactersWithSpaces>
  <Application>WPS Office_11.3.0.8586_F1E327BC-269C-435d-A152-05C5408002CA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2020-12-31T06:58:00Z</dcterms:created>
  <dc:creator>傅海英</dc:creator>
  <cp:lastModifiedBy>A02</cp:lastModifiedBy>
  <cp:lastPrinted>2019-06-21T02:10:00Z</cp:lastPrinted>
  <dcterms:modified xsi:type="dcterms:W3CDTF">2024-10-08T07:07:45Z</dcterms:modified>
  <dc:title>关于进行本市部门整体支出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2052-11.3.0.8586</vt:lpwstr>
  </property>
  <property fmtid="{D5CDD505-2E9C-101B-9397-08002B2CF9AE}" pid="3" name="ICV">
    <vt:lpwstr>739EEDB2ECE141DEAF0C3D87D58590AD_13</vt:lpwstr>
  </property>
</Properties>
</file>