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苏州市机关事务管理局</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2025年，苏州市机关事务管理局紧紧围绕市委、市政府中心工作，深入落实“坚持勤俭办一切事业”原则要求，紧扣“两个更好服务”目标，纵深推进行政事业性资产管理，实施物业服务集中统管，加快公共机构绿色转型步伐，持续传递服务保障民生温度，为推进中国式现代化苏州新实践发挥服务保障作用。
</w:t>
        <w:br/>
        <w:t>一是推进房产集中统管。开展市级行政事业性房产摸底清查，紧抓政策窗口期推进权属登记，市级办公用房权属登记率提升至90.84%。梳理零星分散办公和租赁房产办公情况，挖掘可调配资源，统筹制定办公用房配置工作方案，推动集中统一租赁，全年完成调配面积约3.5万㎡，减少在外租赁约0.7万㎡。规范房产处置流程，加快闲置低效房产及地块盘活使用，“幸福小厨”“邻里食堂”等惠民项目相继落地，累计盘活约13万㎡，实现资源高效利用。
</w:t>
        <w:br/>
        <w:t>二是从严管控运行成本。以专项整治为抓手规范公务用车管理，制定公务出行社会车辆租用负面清单，杜绝不合理维修、租车等行为；从严把控车辆更新购置环节，2026年度市级公务用车更新购置数量较上年度核减16.5%。以零基预算改革为契机，将2个集中办公区和31个独立办公区基础物业服务集中统管。稳步推进跨部门通用类品目集中采购，年度综合节资率达41.5%。完善实体公物仓管理机制，推广线上虚拟仓应用，首次将公务用车纳入调配范畴，全年完成资产调拨借用2429件，将“过紧日子”要求落到实处。
</w:t>
        <w:br/>
        <w:t>三是引领低碳转型发展。深化能源费用托管改革，在张家港、昆山整县制试点基础上，总结市行政中心、市委党校项目实践经验，全面启动市级党政机关能源费用集中托管，覆盖2个集中办公区和26家市级机关。提速光伏项目建设，全市公共机构年度新增光伏装机容量6兆瓦，市行政中心北广场光伏车棚建成投用。创新碳资产管理模式，完成全市公共机构碳资产统计核算并开展交易，年内资产交易量达2500吨。市行政中心成功获评全国“节约型公共机构示范单位”。
</w:t>
        <w:br/>
        <w:t>四是升级服务保障品质。深入推进“好房好车·苏品苏货”进机关行动，开展新能源汽车、智能家电、特色农产品展销活动。优化食堂餐线布局，引入板块特色餐饮及网红小吃，丰富餐饮供给品类。深入开展“换位跑一次”，推出“延时晚托”“四大中心停车优化”等惠民举措。盘活闲置办公区域建成2个共享会议室，充分保障会务活动需求。
</w:t>
        <w:br/>
        <w:t>五是筑牢安全生产防线。严格按照“三管三必须”要求，推动第三方服务单位完善网格化责任体系。深化集中办公区安全生产“六化”建设，推进智慧停车引导项目，打造无人机和机器狗“空地一体化”智慧巡逻网络。严格执行施工审批制度，对建筑、消防、食品、电力等重点领域开展“拉网式检查”，完成集中办公区电动自行车地毯式筛查，开展局属幼儿园校园安全除患行动，压实经营性房产委托管理方责任，坚决防范意外事故发生。
</w:t>
        <w:br/>
        <w:t>六是深化停车开放共享。扩大停车位开放共享范围，创新暖心服务举措，建立一线工作人员补偿机制，探索多类型新媒体宣传手段，打造具有苏州特色的开放停车模式。年内各节假日期间，累计开放停车位3.5万余个，服务停放车辆超49.4万台次，切实解决市民游客停车难题。此外，在“苏超”足球联赛期间，组织赛场周边机关企事业单位免费开放，有效缓解赛事期间“停车难”问题。
</w:t>
        <w:br/>
        <w:t>七是拓展智慧应用场景。探索人工智能+机关事务，积极拓展市行政中心智能场景应用，增设炒菜机器人档口，部署AI会议系统等智能设备，联动本地科技企业开展产品体验，营造科技创新应用浓厚氛围。稳步推进“公车一体化”平台、“智慧引导”系统等项目建设，进一步丰富机关事务数字管家内涵，为机关事务现代化治理注入科技动能。</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（一）主要职能。
</w:t>
        <w:br/>
        <w:t>1.指导全市机关事务管理工作，拟订机关事务管理的政策、规划和规章制度并组织实施。负责市级机关事务的管理、保障、服务工作。
</w:t>
        <w:br/>
        <w:t>2.协助有关部门制定市级机关行政经费管理制度并组织实施。会同有关部门负责市级党政机关办公用房大中修经费使用管理。
</w:t>
        <w:br/>
        <w:t>3.按规定承担市级机关资产管理工作，制定具体制度和办法并组织实施。
</w:t>
        <w:br/>
        <w:t>4.拟订党政机关办公用房管理制度和办法并组织实施，会同有关部门指导监督下级党政机关办公用房管理工作。按规定负责市级党政机关办公用房的项目初审、规划、建设、调配、大中修、处置和权属等管理，以及市级机关用地管理工作。会同有关部门指导党政机关办公用房附属的人防工程和设施的管理工作。
</w:t>
        <w:br/>
        <w:t>5.推进、指导、协调、监督全市公共机构节能工作。负责市级公共机构节能管理工作。
</w:t>
        <w:br/>
        <w:t>6.拟订党政机关公务用车管理制度和办法并组织实施，指导监督下级党政机关公务用车管理工作。按规定负责市级党政机关公务用车的编制、标准、配备等管理工作。
</w:t>
        <w:br/>
        <w:t>7.指导和协调市级机关绿化、爱国卫生、安全等工作。
</w:t>
        <w:br/>
        <w:t>8.会同有关部门组织拟订市级机关后勤体制改革制度、办法并监督实施，指导市级机关后勤服务工作。负责市级机关相对集中办公区的后勤管理工作。
</w:t>
        <w:br/>
        <w:t>9.完成市委、市政府交办的其他任务。
</w:t>
        <w:br/>
        <w:t>（二）单位机构设置及预算单位构成情况
</w:t>
        <w:br/>
        <w:t>根据单位职责分工，本单位内设机构8个，分别为办公室、财务审计处、资产管理处、服务保障处、公共机构节能管理处、公务用车管理处、安全保卫处、组织人事处（离退休干部处），另机关党委与组织人事处合署办公。
</w:t>
        <w:br/>
        <w:t>局属事业单位共4家，分别为苏州市市级机关物业管理中心、苏州市机关财务服务中心、苏州市民治路幼儿园、苏州市公园路幼儿园。</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坚持量入为出、效费统一，将绩效理念嵌入预算管理全流程，进一步提升财政资金使用效益。精心编制部门整体绩效目标及项目绩效目标，将所有项目纳入绩效管理范围。对绩效目标实现程度和预算执行进度实行“双监控”，每月通报部门整体和项目支出进度，动态掌握项目绩效目标实现程度、资金支出进度和项目实施进程与，及时纠正偏差，确保绩效目标如期实现。下属单位建立细化工作流程，实时监控各指标的运行情况，按规定完成各项指标填报工作，发现问题及时提醒，实时进行问题沟通反馈。2025年度，部门整体支出进度达97%。</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根据市政府工作部署，2025年起，市级党政机关办公用房租赁和物业服务经费全部纳入市机关事务管理局部门预算，实行集中统一管理。其中市级党政机关办公用房租赁经费列入市机关事务管理局本级预算，市级党政机关物业服务经费列入市市级机关物业管理中心预算。由于上述预算未列入2025年度市机关事务管理局部门“二上”预算编制，而是在部门预算“二下”后划转，导致2025年末实际预算数与年初预算数相比调整幅度较大。</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市机关事务管理局高度重视评价结果应用工作，把评价结果应用作为全过程预算绩效管理落脚点，及时整理、归纳、分析、反馈绩效评价结果，将其作为部门预算内资金改进预算管理和下年度预算安排的重要依据，并将列入局党组考核相关处室及其负责人的重要参考。对绩效管理中发现的问题加强整改，评价结果将作为追责问效及下年度项目资金预算安排的重要依据。并按照规定程序，在公开渠道上进行绩效公开。</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9192.75</w:t>
            </w:r>
          </w:p>
        </w:tc>
        <w:tc>
          <w:tcPr>
            <w:tcW w:w="2268" w:type="dxa"/>
            <w:vAlign w:val="center"/>
          </w:tcPr>
          <w:p>
            <w:pPr>
              <w:widowControl/>
              <w:jc w:val="center"/>
              <w:rPr>
                <w:rFonts w:ascii="宋体" w:hAnsi="宋体" w:cs="宋体"/>
                <w:sz w:val="24"/>
              </w:rPr>
            </w:pPr>
            <w:r>
              <w:rPr>
                <w:rFonts w:hint="eastAsia" w:ascii="宋体" w:hAnsi="宋体" w:cs="宋体"/>
                <w:sz w:val="24"/>
              </w:rPr>
              <w:t>2157.89</w:t>
            </w:r>
          </w:p>
        </w:tc>
        <w:tc>
          <w:tcPr>
            <w:tcW w:w="2268" w:type="dxa"/>
            <w:vAlign w:val="center"/>
          </w:tcPr>
          <w:p>
            <w:pPr>
              <w:widowControl/>
              <w:jc w:val="center"/>
              <w:rPr>
                <w:rFonts w:ascii="宋体" w:hAnsi="宋体" w:cs="宋体"/>
                <w:sz w:val="24"/>
              </w:rPr>
            </w:pPr>
            <w:r>
              <w:rPr>
                <w:rFonts w:hint="eastAsia" w:ascii="宋体" w:hAnsi="宋体" w:cs="宋体"/>
                <w:sz w:val="24"/>
              </w:rPr>
              <w:t>11350.64</w:t>
            </w:r>
          </w:p>
        </w:tc>
        <w:tc>
          <w:tcPr>
            <w:tcW w:w="2268" w:type="dxa"/>
            <w:vAlign w:val="center"/>
          </w:tcPr>
          <w:p>
            <w:pPr>
              <w:widowControl/>
              <w:jc w:val="center"/>
              <w:rPr>
                <w:rFonts w:ascii="宋体" w:hAnsi="宋体" w:cs="宋体"/>
                <w:sz w:val="24"/>
              </w:rPr>
            </w:pPr>
            <w:r>
              <w:rPr>
                <w:rFonts w:hint="eastAsia" w:ascii="宋体" w:hAnsi="宋体" w:cs="宋体"/>
                <w:sz w:val="24"/>
              </w:rPr>
              <w:t>11103.43</w:t>
            </w:r>
          </w:p>
        </w:tc>
        <w:tc>
          <w:tcPr>
            <w:tcW w:w="2268" w:type="dxa"/>
            <w:vAlign w:val="center"/>
          </w:tcPr>
          <w:p>
            <w:pPr>
              <w:widowControl/>
              <w:jc w:val="center"/>
              <w:rPr>
                <w:rFonts w:ascii="宋体" w:hAnsi="宋体" w:cs="宋体"/>
                <w:sz w:val="24"/>
              </w:rPr>
            </w:pPr>
            <w:r>
              <w:rPr>
                <w:rFonts w:hint="eastAsia" w:ascii="宋体" w:hAnsi="宋体" w:cs="宋体"/>
                <w:sz w:val="24"/>
              </w:rPr>
              <w:t>97.82%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3240.23</w:t>
            </w:r>
          </w:p>
        </w:tc>
        <w:tc>
          <w:tcPr>
            <w:tcW w:w="2268" w:type="dxa"/>
            <w:vAlign w:val="center"/>
          </w:tcPr>
          <w:p>
            <w:pPr>
              <w:widowControl/>
              <w:jc w:val="center"/>
              <w:rPr>
                <w:rFonts w:ascii="宋体" w:hAnsi="宋体" w:cs="宋体"/>
                <w:sz w:val="24"/>
              </w:rPr>
            </w:pPr>
            <w:r>
              <w:rPr>
                <w:rFonts w:hint="eastAsia" w:ascii="宋体" w:hAnsi="宋体" w:cs="宋体"/>
                <w:sz w:val="24"/>
              </w:rPr>
              <w:t>561.93</w:t>
            </w:r>
          </w:p>
        </w:tc>
        <w:tc>
          <w:tcPr>
            <w:tcW w:w="2268" w:type="dxa"/>
            <w:vAlign w:val="center"/>
          </w:tcPr>
          <w:p>
            <w:pPr>
              <w:widowControl/>
              <w:jc w:val="center"/>
              <w:rPr>
                <w:rFonts w:ascii="宋体" w:hAnsi="宋体" w:cs="宋体"/>
                <w:sz w:val="24"/>
              </w:rPr>
            </w:pPr>
            <w:r>
              <w:rPr>
                <w:rFonts w:hint="eastAsia" w:ascii="宋体" w:hAnsi="宋体" w:cs="宋体"/>
                <w:sz w:val="24"/>
              </w:rPr>
              <w:t>3802.16</w:t>
            </w:r>
          </w:p>
        </w:tc>
        <w:tc>
          <w:tcPr>
            <w:tcW w:w="2268" w:type="dxa"/>
            <w:vAlign w:val="center"/>
          </w:tcPr>
          <w:p>
            <w:pPr>
              <w:widowControl/>
              <w:jc w:val="center"/>
              <w:rPr>
                <w:rFonts w:ascii="宋体" w:hAnsi="宋体" w:cs="宋体"/>
                <w:sz w:val="24"/>
              </w:rPr>
            </w:pPr>
            <w:r>
              <w:rPr>
                <w:rFonts w:hint="eastAsia" w:ascii="宋体" w:hAnsi="宋体" w:cs="宋体"/>
                <w:sz w:val="24"/>
              </w:rPr>
              <w:t>3756.26</w:t>
            </w:r>
          </w:p>
        </w:tc>
        <w:tc>
          <w:tcPr>
            <w:tcW w:w="2268" w:type="dxa"/>
            <w:vAlign w:val="center"/>
          </w:tcPr>
          <w:p>
            <w:pPr>
              <w:widowControl/>
              <w:jc w:val="center"/>
              <w:rPr>
                <w:rFonts w:ascii="宋体" w:hAnsi="宋体" w:cs="宋体"/>
                <w:sz w:val="24"/>
              </w:rPr>
            </w:pPr>
            <w:r>
              <w:rPr>
                <w:rFonts w:hint="eastAsia" w:ascii="宋体" w:hAnsi="宋体" w:cs="宋体"/>
                <w:sz w:val="24"/>
              </w:rPr>
              <w:t>98.79%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5952.52</w:t>
            </w:r>
          </w:p>
        </w:tc>
        <w:tc>
          <w:tcPr>
            <w:tcW w:w="2268" w:type="dxa"/>
            <w:vAlign w:val="center"/>
          </w:tcPr>
          <w:p>
            <w:pPr>
              <w:widowControl/>
              <w:jc w:val="center"/>
              <w:rPr>
                <w:rFonts w:ascii="宋体" w:hAnsi="宋体" w:cs="宋体"/>
                <w:sz w:val="24"/>
              </w:rPr>
            </w:pPr>
            <w:r>
              <w:rPr>
                <w:rFonts w:hint="eastAsia" w:ascii="宋体" w:hAnsi="宋体" w:cs="宋体"/>
                <w:sz w:val="24"/>
              </w:rPr>
              <w:t>1595.96</w:t>
            </w:r>
          </w:p>
        </w:tc>
        <w:tc>
          <w:tcPr>
            <w:tcW w:w="2268" w:type="dxa"/>
            <w:vAlign w:val="center"/>
          </w:tcPr>
          <w:p>
            <w:pPr>
              <w:widowControl/>
              <w:jc w:val="center"/>
              <w:rPr>
                <w:rFonts w:ascii="宋体" w:hAnsi="宋体" w:cs="宋体"/>
                <w:sz w:val="24"/>
              </w:rPr>
            </w:pPr>
            <w:r>
              <w:rPr>
                <w:rFonts w:hint="eastAsia" w:ascii="宋体" w:hAnsi="宋体" w:cs="宋体"/>
                <w:sz w:val="24"/>
              </w:rPr>
              <w:t>7548.48</w:t>
            </w:r>
          </w:p>
        </w:tc>
        <w:tc>
          <w:tcPr>
            <w:tcW w:w="2268" w:type="dxa"/>
            <w:vAlign w:val="center"/>
          </w:tcPr>
          <w:p>
            <w:pPr>
              <w:widowControl/>
              <w:jc w:val="center"/>
              <w:rPr>
                <w:rFonts w:ascii="宋体" w:hAnsi="宋体" w:cs="宋体"/>
                <w:sz w:val="24"/>
              </w:rPr>
            </w:pPr>
            <w:r>
              <w:rPr>
                <w:rFonts w:hint="eastAsia" w:ascii="宋体" w:hAnsi="宋体" w:cs="宋体"/>
                <w:sz w:val="24"/>
              </w:rPr>
              <w:t>7347.17</w:t>
            </w:r>
          </w:p>
        </w:tc>
        <w:tc>
          <w:tcPr>
            <w:tcW w:w="2268" w:type="dxa"/>
            <w:vAlign w:val="center"/>
          </w:tcPr>
          <w:p>
            <w:pPr>
              <w:widowControl/>
              <w:jc w:val="center"/>
              <w:rPr>
                <w:rFonts w:ascii="宋体" w:hAnsi="宋体" w:cs="宋体"/>
                <w:sz w:val="24"/>
              </w:rPr>
            </w:pPr>
            <w:r>
              <w:rPr>
                <w:rFonts w:hint="eastAsia" w:ascii="宋体" w:hAnsi="宋体" w:cs="宋体"/>
                <w:sz w:val="24"/>
              </w:rPr>
              <w:t>97.33%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设备维修维护费</w:t>
            </w:r>
          </w:p>
        </w:tc>
        <w:tc>
          <w:tcPr>
            <w:tcW w:w="2268" w:type="dxa"/>
            <w:vAlign w:val="center"/>
          </w:tcPr>
          <w:p>
            <w:pPr>
              <w:widowControl/>
              <w:jc w:val="center"/>
              <w:rPr>
                <w:rFonts w:ascii="宋体" w:hAnsi="宋体" w:cs="宋体"/>
                <w:kern w:val="0"/>
                <w:sz w:val="24"/>
              </w:rPr>
            </w:pPr>
            <w:r>
              <w:rPr>
                <w:rFonts w:hint="eastAsia" w:ascii="宋体" w:hAnsi="宋体" w:cs="宋体"/>
                <w:sz w:val="24"/>
              </w:rPr>
              <w:t>158</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158</w:t>
            </w:r>
          </w:p>
        </w:tc>
        <w:tc>
          <w:tcPr>
            <w:tcW w:w="2268" w:type="dxa"/>
            <w:vAlign w:val="center"/>
          </w:tcPr>
          <w:p>
            <w:pPr>
              <w:widowControl/>
              <w:jc w:val="center"/>
              <w:rPr>
                <w:rFonts w:ascii="宋体" w:hAnsi="宋体" w:cs="宋体"/>
                <w:sz w:val="24"/>
              </w:rPr>
            </w:pPr>
            <w:r>
              <w:rPr>
                <w:rFonts w:hint="eastAsia" w:ascii="宋体" w:hAnsi="宋体" w:cs="宋体"/>
                <w:sz w:val="24"/>
              </w:rPr>
              <w:t>156.93</w:t>
            </w:r>
          </w:p>
        </w:tc>
        <w:tc>
          <w:tcPr>
            <w:tcW w:w="2268" w:type="dxa"/>
            <w:vAlign w:val="center"/>
          </w:tcPr>
          <w:p>
            <w:pPr>
              <w:widowControl/>
              <w:jc w:val="center"/>
              <w:rPr>
                <w:rFonts w:ascii="宋体" w:hAnsi="宋体" w:cs="宋体"/>
                <w:sz w:val="24"/>
              </w:rPr>
            </w:pPr>
            <w:r>
              <w:rPr>
                <w:rFonts w:hint="eastAsia" w:ascii="宋体" w:hAnsi="宋体" w:cs="宋体"/>
                <w:sz w:val="24"/>
              </w:rPr>
              <w:t>99.32%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市级机关大中修项目</w:t>
            </w:r>
          </w:p>
        </w:tc>
        <w:tc>
          <w:tcPr>
            <w:tcW w:w="2268" w:type="dxa"/>
            <w:vAlign w:val="center"/>
          </w:tcPr>
          <w:p>
            <w:pPr>
              <w:widowControl/>
              <w:jc w:val="center"/>
              <w:rPr>
                <w:rFonts w:ascii="宋体" w:hAnsi="宋体" w:cs="宋体"/>
                <w:kern w:val="0"/>
                <w:sz w:val="24"/>
              </w:rPr>
            </w:pPr>
            <w:r>
              <w:rPr>
                <w:rFonts w:hint="eastAsia" w:ascii="宋体" w:hAnsi="宋体" w:cs="宋体"/>
                <w:sz w:val="24"/>
              </w:rPr>
              <w:t>495</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495</w:t>
            </w:r>
          </w:p>
        </w:tc>
        <w:tc>
          <w:tcPr>
            <w:tcW w:w="2268" w:type="dxa"/>
            <w:vAlign w:val="center"/>
          </w:tcPr>
          <w:p>
            <w:pPr>
              <w:widowControl/>
              <w:jc w:val="center"/>
              <w:rPr>
                <w:rFonts w:ascii="宋体" w:hAnsi="宋体" w:cs="宋体"/>
                <w:sz w:val="24"/>
              </w:rPr>
            </w:pPr>
            <w:r>
              <w:rPr>
                <w:rFonts w:hint="eastAsia" w:ascii="宋体" w:hAnsi="宋体" w:cs="宋体"/>
                <w:sz w:val="24"/>
              </w:rPr>
              <w:t>416.73</w:t>
            </w:r>
          </w:p>
        </w:tc>
        <w:tc>
          <w:tcPr>
            <w:tcW w:w="2268" w:type="dxa"/>
            <w:vAlign w:val="center"/>
          </w:tcPr>
          <w:p>
            <w:pPr>
              <w:widowControl/>
              <w:jc w:val="center"/>
              <w:rPr>
                <w:rFonts w:ascii="宋体" w:hAnsi="宋体" w:cs="宋体"/>
                <w:sz w:val="24"/>
              </w:rPr>
            </w:pPr>
            <w:r>
              <w:rPr>
                <w:rFonts w:hint="eastAsia" w:ascii="宋体" w:hAnsi="宋体" w:cs="宋体"/>
                <w:sz w:val="24"/>
              </w:rPr>
              <w:t>84.19%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设备及家具购置</w:t>
            </w:r>
          </w:p>
        </w:tc>
        <w:tc>
          <w:tcPr>
            <w:tcW w:w="2268" w:type="dxa"/>
            <w:vAlign w:val="center"/>
          </w:tcPr>
          <w:p>
            <w:pPr>
              <w:widowControl/>
              <w:jc w:val="center"/>
              <w:rPr>
                <w:rFonts w:ascii="宋体" w:hAnsi="宋体" w:cs="宋体"/>
                <w:kern w:val="0"/>
                <w:sz w:val="24"/>
              </w:rPr>
            </w:pPr>
            <w:r>
              <w:rPr>
                <w:rFonts w:hint="eastAsia" w:ascii="宋体" w:hAnsi="宋体" w:cs="宋体"/>
                <w:sz w:val="24"/>
              </w:rPr>
              <w:t>6.3</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6.3</w:t>
            </w:r>
          </w:p>
        </w:tc>
        <w:tc>
          <w:tcPr>
            <w:tcW w:w="2268" w:type="dxa"/>
            <w:vAlign w:val="center"/>
          </w:tcPr>
          <w:p>
            <w:pPr>
              <w:widowControl/>
              <w:jc w:val="center"/>
              <w:rPr>
                <w:rFonts w:ascii="宋体" w:hAnsi="宋体" w:cs="宋体"/>
                <w:sz w:val="24"/>
              </w:rPr>
            </w:pPr>
            <w:r>
              <w:rPr>
                <w:rFonts w:hint="eastAsia" w:ascii="宋体" w:hAnsi="宋体" w:cs="宋体"/>
                <w:sz w:val="24"/>
              </w:rPr>
              <w:t>6.3</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pPr>
              <w:widowControl/>
              <w:jc w:val="center"/>
              <w:rPr>
                <w:rFonts w:ascii="宋体" w:hAnsi="宋体" w:cs="宋体"/>
                <w:kern w:val="0"/>
                <w:sz w:val="24"/>
              </w:rPr>
            </w:pPr>
            <w:r>
              <w:rPr>
                <w:rFonts w:hint="eastAsia" w:ascii="宋体" w:hAnsi="宋体" w:cs="宋体"/>
                <w:sz w:val="24"/>
              </w:rPr>
              <w:t>602</w:t>
            </w:r>
          </w:p>
        </w:tc>
        <w:tc>
          <w:tcPr>
            <w:tcW w:w="2268" w:type="dxa"/>
            <w:vAlign w:val="center"/>
          </w:tcPr>
          <w:p>
            <w:pPr>
              <w:widowControl/>
              <w:jc w:val="center"/>
              <w:rPr>
                <w:rFonts w:ascii="宋体" w:hAnsi="宋体" w:cs="宋体"/>
                <w:sz w:val="24"/>
              </w:rPr>
            </w:pPr>
            <w:r>
              <w:rPr>
                <w:rFonts w:hint="eastAsia" w:ascii="宋体" w:hAnsi="宋体" w:cs="宋体"/>
                <w:sz w:val="24"/>
              </w:rPr>
              <w:t>-602</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NaN%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行政中心大院安保服务</w:t>
            </w:r>
          </w:p>
        </w:tc>
        <w:tc>
          <w:tcPr>
            <w:tcW w:w="2268" w:type="dxa"/>
            <w:vAlign w:val="center"/>
          </w:tcPr>
          <w:p>
            <w:pPr>
              <w:widowControl/>
              <w:jc w:val="center"/>
              <w:rPr>
                <w:rFonts w:ascii="宋体" w:hAnsi="宋体" w:cs="宋体"/>
                <w:kern w:val="0"/>
                <w:sz w:val="24"/>
              </w:rPr>
            </w:pPr>
            <w:r>
              <w:rPr>
                <w:rFonts w:hint="eastAsia" w:ascii="宋体" w:hAnsi="宋体" w:cs="宋体"/>
                <w:sz w:val="24"/>
              </w:rPr>
              <w:t>1272</w:t>
            </w:r>
          </w:p>
        </w:tc>
        <w:tc>
          <w:tcPr>
            <w:tcW w:w="2268" w:type="dxa"/>
            <w:vAlign w:val="center"/>
          </w:tcPr>
          <w:p>
            <w:pPr>
              <w:widowControl/>
              <w:jc w:val="center"/>
              <w:rPr>
                <w:rFonts w:ascii="宋体" w:hAnsi="宋体" w:cs="宋体"/>
                <w:sz w:val="24"/>
              </w:rPr>
            </w:pPr>
            <w:r>
              <w:rPr>
                <w:rFonts w:hint="eastAsia" w:ascii="宋体" w:hAnsi="宋体" w:cs="宋体"/>
                <w:sz w:val="24"/>
              </w:rPr>
              <w:t>-1272</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NaN%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专项委托业务费</w:t>
            </w:r>
          </w:p>
        </w:tc>
        <w:tc>
          <w:tcPr>
            <w:tcW w:w="2268" w:type="dxa"/>
            <w:vAlign w:val="center"/>
          </w:tcPr>
          <w:p>
            <w:pPr>
              <w:widowControl/>
              <w:jc w:val="center"/>
              <w:rPr>
                <w:rFonts w:ascii="宋体" w:hAnsi="宋体" w:cs="宋体"/>
                <w:kern w:val="0"/>
                <w:sz w:val="24"/>
              </w:rPr>
            </w:pPr>
            <w:r>
              <w:rPr>
                <w:rFonts w:hint="eastAsia" w:ascii="宋体" w:hAnsi="宋体" w:cs="宋体"/>
                <w:sz w:val="24"/>
              </w:rPr>
              <w:t>132</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132</w:t>
            </w:r>
          </w:p>
        </w:tc>
        <w:tc>
          <w:tcPr>
            <w:tcW w:w="2268" w:type="dxa"/>
            <w:vAlign w:val="center"/>
          </w:tcPr>
          <w:p>
            <w:pPr>
              <w:widowControl/>
              <w:jc w:val="center"/>
              <w:rPr>
                <w:rFonts w:ascii="宋体" w:hAnsi="宋体" w:cs="宋体"/>
                <w:sz w:val="24"/>
              </w:rPr>
            </w:pPr>
            <w:r>
              <w:rPr>
                <w:rFonts w:hint="eastAsia" w:ascii="宋体" w:hAnsi="宋体" w:cs="宋体"/>
                <w:sz w:val="24"/>
              </w:rPr>
              <w:t>131.97</w:t>
            </w:r>
          </w:p>
        </w:tc>
        <w:tc>
          <w:tcPr>
            <w:tcW w:w="2268" w:type="dxa"/>
            <w:vAlign w:val="center"/>
          </w:tcPr>
          <w:p>
            <w:pPr>
              <w:widowControl/>
              <w:jc w:val="center"/>
              <w:rPr>
                <w:rFonts w:ascii="宋体" w:hAnsi="宋体" w:cs="宋体"/>
                <w:sz w:val="24"/>
              </w:rPr>
            </w:pPr>
            <w:r>
              <w:rPr>
                <w:rFonts w:hint="eastAsia" w:ascii="宋体" w:hAnsi="宋体" w:cs="宋体"/>
                <w:sz w:val="24"/>
              </w:rPr>
              <w:t>99.98%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专项租赁费</w:t>
            </w:r>
          </w:p>
        </w:tc>
        <w:tc>
          <w:tcPr>
            <w:tcW w:w="2268" w:type="dxa"/>
            <w:vAlign w:val="center"/>
          </w:tcPr>
          <w:p>
            <w:pPr>
              <w:widowControl/>
              <w:jc w:val="center"/>
              <w:rPr>
                <w:rFonts w:ascii="宋体" w:hAnsi="宋体" w:cs="宋体"/>
                <w:kern w:val="0"/>
                <w:sz w:val="24"/>
              </w:rPr>
            </w:pPr>
            <w:r>
              <w:rPr>
                <w:rFonts w:hint="eastAsia" w:ascii="宋体" w:hAnsi="宋体" w:cs="宋体"/>
                <w:sz w:val="24"/>
              </w:rPr>
              <w:t>920</w:t>
            </w:r>
          </w:p>
        </w:tc>
        <w:tc>
          <w:tcPr>
            <w:tcW w:w="2268" w:type="dxa"/>
            <w:vAlign w:val="center"/>
          </w:tcPr>
          <w:p>
            <w:pPr>
              <w:widowControl/>
              <w:jc w:val="center"/>
              <w:rPr>
                <w:rFonts w:ascii="宋体" w:hAnsi="宋体" w:cs="宋体"/>
                <w:sz w:val="24"/>
              </w:rPr>
            </w:pPr>
            <w:r>
              <w:rPr>
                <w:rFonts w:hint="eastAsia" w:ascii="宋体" w:hAnsi="宋体" w:cs="宋体"/>
                <w:sz w:val="24"/>
              </w:rPr>
              <w:t>4562.31</w:t>
            </w:r>
          </w:p>
        </w:tc>
        <w:tc>
          <w:tcPr>
            <w:tcW w:w="2268" w:type="dxa"/>
            <w:vAlign w:val="center"/>
          </w:tcPr>
          <w:p>
            <w:pPr>
              <w:widowControl/>
              <w:jc w:val="center"/>
              <w:rPr>
                <w:rFonts w:ascii="宋体" w:hAnsi="宋体" w:cs="宋体"/>
                <w:sz w:val="24"/>
              </w:rPr>
            </w:pPr>
            <w:r>
              <w:rPr>
                <w:rFonts w:hint="eastAsia" w:ascii="宋体" w:hAnsi="宋体" w:cs="宋体"/>
                <w:sz w:val="24"/>
              </w:rPr>
              <w:t>5482.31</w:t>
            </w:r>
          </w:p>
        </w:tc>
        <w:tc>
          <w:tcPr>
            <w:tcW w:w="2268" w:type="dxa"/>
            <w:vAlign w:val="center"/>
          </w:tcPr>
          <w:p>
            <w:pPr>
              <w:widowControl/>
              <w:jc w:val="center"/>
              <w:rPr>
                <w:rFonts w:ascii="宋体" w:hAnsi="宋体" w:cs="宋体"/>
                <w:sz w:val="24"/>
              </w:rPr>
            </w:pPr>
            <w:r>
              <w:rPr>
                <w:rFonts w:hint="eastAsia" w:ascii="宋体" w:hAnsi="宋体" w:cs="宋体"/>
                <w:sz w:val="24"/>
              </w:rPr>
              <w:t>5400.85</w:t>
            </w:r>
          </w:p>
        </w:tc>
        <w:tc>
          <w:tcPr>
            <w:tcW w:w="2268" w:type="dxa"/>
            <w:vAlign w:val="center"/>
          </w:tcPr>
          <w:p>
            <w:pPr>
              <w:widowControl/>
              <w:jc w:val="center"/>
              <w:rPr>
                <w:rFonts w:ascii="宋体" w:hAnsi="宋体" w:cs="宋体"/>
                <w:sz w:val="24"/>
              </w:rPr>
            </w:pPr>
            <w:r>
              <w:rPr>
                <w:rFonts w:hint="eastAsia" w:ascii="宋体" w:hAnsi="宋体" w:cs="宋体"/>
                <w:sz w:val="24"/>
              </w:rPr>
              <w:t>98.51%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公车运行经费</w:t>
            </w:r>
          </w:p>
        </w:tc>
        <w:tc>
          <w:tcPr>
            <w:tcW w:w="2268" w:type="dxa"/>
            <w:vAlign w:val="center"/>
          </w:tcPr>
          <w:p>
            <w:pPr>
              <w:widowControl/>
              <w:jc w:val="center"/>
              <w:rPr>
                <w:rFonts w:ascii="宋体" w:hAnsi="宋体" w:cs="宋体"/>
                <w:kern w:val="0"/>
                <w:sz w:val="24"/>
              </w:rPr>
            </w:pPr>
            <w:r>
              <w:rPr>
                <w:rFonts w:hint="eastAsia" w:ascii="宋体" w:hAnsi="宋体" w:cs="宋体"/>
                <w:sz w:val="24"/>
              </w:rPr>
              <w:t>1753.1</w:t>
            </w:r>
          </w:p>
        </w:tc>
        <w:tc>
          <w:tcPr>
            <w:tcW w:w="2268" w:type="dxa"/>
            <w:vAlign w:val="center"/>
          </w:tcPr>
          <w:p>
            <w:pPr>
              <w:widowControl/>
              <w:jc w:val="center"/>
              <w:rPr>
                <w:rFonts w:ascii="宋体" w:hAnsi="宋体" w:cs="宋体"/>
                <w:sz w:val="24"/>
              </w:rPr>
            </w:pPr>
            <w:r>
              <w:rPr>
                <w:rFonts w:hint="eastAsia" w:ascii="宋体" w:hAnsi="宋体" w:cs="宋体"/>
                <w:sz w:val="24"/>
              </w:rPr>
              <w:t>-1141.85</w:t>
            </w:r>
          </w:p>
        </w:tc>
        <w:tc>
          <w:tcPr>
            <w:tcW w:w="2268" w:type="dxa"/>
            <w:vAlign w:val="center"/>
          </w:tcPr>
          <w:p>
            <w:pPr>
              <w:widowControl/>
              <w:jc w:val="center"/>
              <w:rPr>
                <w:rFonts w:ascii="宋体" w:hAnsi="宋体" w:cs="宋体"/>
                <w:sz w:val="24"/>
              </w:rPr>
            </w:pPr>
            <w:r>
              <w:rPr>
                <w:rFonts w:hint="eastAsia" w:ascii="宋体" w:hAnsi="宋体" w:cs="宋体"/>
                <w:sz w:val="24"/>
              </w:rPr>
              <w:t>611.25</w:t>
            </w:r>
          </w:p>
        </w:tc>
        <w:tc>
          <w:tcPr>
            <w:tcW w:w="2268" w:type="dxa"/>
            <w:vAlign w:val="center"/>
          </w:tcPr>
          <w:p>
            <w:pPr>
              <w:widowControl/>
              <w:jc w:val="center"/>
              <w:rPr>
                <w:rFonts w:ascii="宋体" w:hAnsi="宋体" w:cs="宋体"/>
                <w:sz w:val="24"/>
              </w:rPr>
            </w:pPr>
            <w:r>
              <w:rPr>
                <w:rFonts w:hint="eastAsia" w:ascii="宋体" w:hAnsi="宋体" w:cs="宋体"/>
                <w:sz w:val="24"/>
              </w:rPr>
              <w:t>611.25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干将西路1038号集中办公区维修改造工程</w:t>
            </w:r>
          </w:p>
        </w:tc>
        <w:tc>
          <w:tcPr>
            <w:tcW w:w="2268" w:type="dxa"/>
            <w:vAlign w:val="center"/>
          </w:tcPr>
          <w:p>
            <w:pPr>
              <w:widowControl/>
              <w:jc w:val="center"/>
              <w:rPr>
                <w:rFonts w:ascii="宋体" w:hAnsi="宋体" w:cs="宋体"/>
                <w:kern w:val="0"/>
                <w:sz w:val="24"/>
              </w:rPr>
            </w:pPr>
            <w:r>
              <w:rPr>
                <w:rFonts w:hint="eastAsia" w:ascii="宋体" w:hAnsi="宋体" w:cs="宋体"/>
                <w:sz w:val="24"/>
              </w:rPr>
              <w:t>20.12</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20.12</w:t>
            </w:r>
          </w:p>
        </w:tc>
        <w:tc>
          <w:tcPr>
            <w:tcW w:w="2268" w:type="dxa"/>
            <w:vAlign w:val="center"/>
          </w:tcPr>
          <w:p>
            <w:pPr>
              <w:widowControl/>
              <w:jc w:val="center"/>
              <w:rPr>
                <w:rFonts w:ascii="宋体" w:hAnsi="宋体" w:cs="宋体"/>
                <w:sz w:val="24"/>
              </w:rPr>
            </w:pPr>
            <w:r>
              <w:rPr>
                <w:rFonts w:hint="eastAsia" w:ascii="宋体" w:hAnsi="宋体" w:cs="宋体"/>
                <w:sz w:val="24"/>
              </w:rPr>
              <w:t>1.75</w:t>
            </w:r>
          </w:p>
        </w:tc>
        <w:tc>
          <w:tcPr>
            <w:tcW w:w="2268" w:type="dxa"/>
            <w:vAlign w:val="center"/>
          </w:tcPr>
          <w:p>
            <w:pPr>
              <w:widowControl/>
              <w:jc w:val="center"/>
              <w:rPr>
                <w:rFonts w:ascii="宋体" w:hAnsi="宋体" w:cs="宋体"/>
                <w:sz w:val="24"/>
              </w:rPr>
            </w:pPr>
            <w:r>
              <w:rPr>
                <w:rFonts w:hint="eastAsia" w:ascii="宋体" w:hAnsi="宋体" w:cs="宋体"/>
                <w:sz w:val="24"/>
              </w:rPr>
              <w:t>8.70%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财产保险费</w:t>
            </w:r>
          </w:p>
        </w:tc>
        <w:tc>
          <w:tcPr>
            <w:tcW w:w="2268" w:type="dxa"/>
            <w:vAlign w:val="center"/>
          </w:tcPr>
          <w:p>
            <w:pPr>
              <w:widowControl/>
              <w:jc w:val="center"/>
              <w:rPr>
                <w:rFonts w:ascii="宋体" w:hAnsi="宋体" w:cs="宋体"/>
                <w:kern w:val="0"/>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14.95</w:t>
            </w:r>
          </w:p>
        </w:tc>
        <w:tc>
          <w:tcPr>
            <w:tcW w:w="2268" w:type="dxa"/>
            <w:vAlign w:val="center"/>
          </w:tcPr>
          <w:p>
            <w:pPr>
              <w:widowControl/>
              <w:jc w:val="center"/>
              <w:rPr>
                <w:rFonts w:ascii="宋体" w:hAnsi="宋体" w:cs="宋体"/>
                <w:sz w:val="24"/>
              </w:rPr>
            </w:pPr>
            <w:r>
              <w:rPr>
                <w:rFonts w:hint="eastAsia" w:ascii="宋体" w:hAnsi="宋体" w:cs="宋体"/>
                <w:sz w:val="24"/>
              </w:rPr>
              <w:t>59.80%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培训费</w:t>
            </w:r>
          </w:p>
        </w:tc>
        <w:tc>
          <w:tcPr>
            <w:tcW w:w="2268" w:type="dxa"/>
            <w:vAlign w:val="center"/>
          </w:tcPr>
          <w:p>
            <w:pPr>
              <w:widowControl/>
              <w:jc w:val="center"/>
              <w:rPr>
                <w:rFonts w:ascii="宋体" w:hAnsi="宋体" w:cs="宋体"/>
                <w:kern w:val="0"/>
                <w:sz w:val="24"/>
              </w:rPr>
            </w:pPr>
            <w:r>
              <w:rPr>
                <w:rFonts w:hint="eastAsia" w:ascii="宋体" w:hAnsi="宋体" w:cs="宋体"/>
                <w:sz w:val="24"/>
              </w:rPr>
              <w:t>16</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16</w:t>
            </w:r>
          </w:p>
        </w:tc>
        <w:tc>
          <w:tcPr>
            <w:tcW w:w="2268" w:type="dxa"/>
            <w:vAlign w:val="center"/>
          </w:tcPr>
          <w:p>
            <w:pPr>
              <w:widowControl/>
              <w:jc w:val="center"/>
              <w:rPr>
                <w:rFonts w:ascii="宋体" w:hAnsi="宋体" w:cs="宋体"/>
                <w:sz w:val="24"/>
              </w:rPr>
            </w:pPr>
            <w:r>
              <w:rPr>
                <w:rFonts w:hint="eastAsia" w:ascii="宋体" w:hAnsi="宋体" w:cs="宋体"/>
                <w:sz w:val="24"/>
              </w:rPr>
              <w:t>15.51</w:t>
            </w:r>
          </w:p>
        </w:tc>
        <w:tc>
          <w:tcPr>
            <w:tcW w:w="2268" w:type="dxa"/>
            <w:vAlign w:val="center"/>
          </w:tcPr>
          <w:p>
            <w:pPr>
              <w:widowControl/>
              <w:jc w:val="center"/>
              <w:rPr>
                <w:rFonts w:ascii="宋体" w:hAnsi="宋体" w:cs="宋体"/>
                <w:sz w:val="24"/>
              </w:rPr>
            </w:pPr>
            <w:r>
              <w:rPr>
                <w:rFonts w:hint="eastAsia" w:ascii="宋体" w:hAnsi="宋体" w:cs="宋体"/>
                <w:sz w:val="24"/>
              </w:rPr>
              <w:t>96.94%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机关财务服务中心工作经费</w:t>
            </w:r>
          </w:p>
        </w:tc>
        <w:tc>
          <w:tcPr>
            <w:tcW w:w="2268" w:type="dxa"/>
            <w:vAlign w:val="center"/>
          </w:tcPr>
          <w:p>
            <w:pPr>
              <w:widowControl/>
              <w:jc w:val="center"/>
              <w:rPr>
                <w:rFonts w:ascii="宋体" w:hAnsi="宋体" w:cs="宋体"/>
                <w:kern w:val="0"/>
                <w:sz w:val="24"/>
              </w:rPr>
            </w:pPr>
            <w:r>
              <w:rPr>
                <w:rFonts w:hint="eastAsia" w:ascii="宋体" w:hAnsi="宋体" w:cs="宋体"/>
                <w:sz w:val="24"/>
              </w:rPr>
              <w:t>15</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15</w:t>
            </w:r>
          </w:p>
        </w:tc>
        <w:tc>
          <w:tcPr>
            <w:tcW w:w="2268" w:type="dxa"/>
            <w:vAlign w:val="center"/>
          </w:tcPr>
          <w:p>
            <w:pPr>
              <w:widowControl/>
              <w:jc w:val="center"/>
              <w:rPr>
                <w:rFonts w:ascii="宋体" w:hAnsi="宋体" w:cs="宋体"/>
                <w:sz w:val="24"/>
              </w:rPr>
            </w:pPr>
            <w:r>
              <w:rPr>
                <w:rFonts w:hint="eastAsia" w:ascii="宋体" w:hAnsi="宋体" w:cs="宋体"/>
                <w:sz w:val="24"/>
              </w:rPr>
              <w:t>9.12</w:t>
            </w:r>
          </w:p>
        </w:tc>
        <w:tc>
          <w:tcPr>
            <w:tcW w:w="2268" w:type="dxa"/>
            <w:vAlign w:val="center"/>
          </w:tcPr>
          <w:p>
            <w:pPr>
              <w:widowControl/>
              <w:jc w:val="center"/>
              <w:rPr>
                <w:rFonts w:ascii="宋体" w:hAnsi="宋体" w:cs="宋体"/>
                <w:sz w:val="24"/>
              </w:rPr>
            </w:pPr>
            <w:r>
              <w:rPr>
                <w:rFonts w:hint="eastAsia" w:ascii="宋体" w:hAnsi="宋体" w:cs="宋体"/>
                <w:sz w:val="24"/>
              </w:rPr>
              <w:t>60.80%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公共机构节能经费</w:t>
            </w:r>
          </w:p>
        </w:tc>
        <w:tc>
          <w:tcPr>
            <w:tcW w:w="2268" w:type="dxa"/>
            <w:vAlign w:val="center"/>
          </w:tcPr>
          <w:p>
            <w:pPr>
              <w:widowControl/>
              <w:jc w:val="center"/>
              <w:rPr>
                <w:rFonts w:ascii="宋体" w:hAnsi="宋体" w:cs="宋体"/>
                <w:kern w:val="0"/>
                <w:sz w:val="24"/>
              </w:rPr>
            </w:pPr>
            <w:r>
              <w:rPr>
                <w:rFonts w:hint="eastAsia" w:ascii="宋体" w:hAnsi="宋体" w:cs="宋体"/>
                <w:sz w:val="24"/>
              </w:rPr>
              <w:t>130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130</w:t>
            </w:r>
          </w:p>
        </w:tc>
        <w:tc>
          <w:tcPr>
            <w:tcW w:w="2268" w:type="dxa"/>
            <w:vAlign w:val="center"/>
          </w:tcPr>
          <w:p>
            <w:pPr>
              <w:widowControl/>
              <w:jc w:val="center"/>
              <w:rPr>
                <w:rFonts w:ascii="宋体" w:hAnsi="宋体" w:cs="宋体"/>
                <w:sz w:val="24"/>
              </w:rPr>
            </w:pPr>
            <w:r>
              <w:rPr>
                <w:rFonts w:hint="eastAsia" w:ascii="宋体" w:hAnsi="宋体" w:cs="宋体"/>
                <w:sz w:val="24"/>
              </w:rPr>
              <w:t>123.31</w:t>
            </w:r>
          </w:p>
        </w:tc>
        <w:tc>
          <w:tcPr>
            <w:tcW w:w="2268" w:type="dxa"/>
            <w:vAlign w:val="center"/>
          </w:tcPr>
          <w:p>
            <w:pPr>
              <w:widowControl/>
              <w:jc w:val="center"/>
              <w:rPr>
                <w:rFonts w:ascii="宋体" w:hAnsi="宋体" w:cs="宋体"/>
                <w:sz w:val="24"/>
              </w:rPr>
            </w:pPr>
            <w:r>
              <w:rPr>
                <w:rFonts w:hint="eastAsia" w:ascii="宋体" w:hAnsi="宋体" w:cs="宋体"/>
                <w:sz w:val="24"/>
              </w:rPr>
              <w:t>94.85%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维修维护维保费及质保金</w:t>
            </w:r>
          </w:p>
        </w:tc>
        <w:tc>
          <w:tcPr>
            <w:tcW w:w="2268" w:type="dxa"/>
            <w:vAlign w:val="center"/>
          </w:tcPr>
          <w:p>
            <w:pPr>
              <w:widowControl/>
              <w:jc w:val="center"/>
              <w:rPr>
                <w:rFonts w:ascii="宋体" w:hAnsi="宋体" w:cs="宋体"/>
                <w:kern w:val="0"/>
                <w:sz w:val="24"/>
              </w:rPr>
            </w:pPr>
            <w:r>
              <w:rPr>
                <w:rFonts w:hint="eastAsia" w:ascii="宋体" w:hAnsi="宋体" w:cs="宋体"/>
                <w:sz w:val="24"/>
              </w:rPr>
              <w:t>408</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408</w:t>
            </w:r>
          </w:p>
        </w:tc>
        <w:tc>
          <w:tcPr>
            <w:tcW w:w="2268" w:type="dxa"/>
            <w:vAlign w:val="center"/>
          </w:tcPr>
          <w:p>
            <w:pPr>
              <w:widowControl/>
              <w:jc w:val="center"/>
              <w:rPr>
                <w:rFonts w:ascii="宋体" w:hAnsi="宋体" w:cs="宋体"/>
                <w:sz w:val="24"/>
              </w:rPr>
            </w:pPr>
            <w:r>
              <w:rPr>
                <w:rFonts w:hint="eastAsia" w:ascii="宋体" w:hAnsi="宋体" w:cs="宋体"/>
                <w:sz w:val="24"/>
              </w:rPr>
              <w:t>407.5</w:t>
            </w:r>
          </w:p>
        </w:tc>
        <w:tc>
          <w:tcPr>
            <w:tcW w:w="2268" w:type="dxa"/>
            <w:vAlign w:val="center"/>
          </w:tcPr>
          <w:p>
            <w:pPr>
              <w:widowControl/>
              <w:jc w:val="center"/>
              <w:rPr>
                <w:rFonts w:ascii="宋体" w:hAnsi="宋体" w:cs="宋体"/>
                <w:sz w:val="24"/>
              </w:rPr>
            </w:pPr>
            <w:r>
              <w:rPr>
                <w:rFonts w:hint="eastAsia" w:ascii="宋体" w:hAnsi="宋体" w:cs="宋体"/>
                <w:sz w:val="24"/>
              </w:rPr>
              <w:t>99.88%</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按规定承担市级机关资产管理工作，制定具体制度和办法并组织实施。</w:t>
            </w:r>
          </w:p>
        </w:tc>
        <w:tc>
          <w:tcPr>
            <w:tcW w:w="3818" w:type="dxa"/>
            <w:vAlign w:val="center"/>
          </w:tcPr>
          <w:p>
            <w:pPr>
              <w:widowControl/>
              <w:jc w:val="center"/>
              <w:rPr>
                <w:rFonts w:ascii="宋体" w:hAnsi="宋体" w:cs="宋体"/>
                <w:sz w:val="24"/>
              </w:rPr>
            </w:pPr>
            <w:r>
              <w:rPr>
                <w:rFonts w:hint="eastAsia" w:ascii="宋体" w:hAnsi="宋体" w:cs="宋体"/>
                <w:sz w:val="24"/>
              </w:rPr>
              <w:t>全面推进党政机关带头过紧日子，开展市级机关办公用房集中统一租赁，加强公物仓运营管理。</w:t>
            </w:r>
          </w:p>
        </w:tc>
        <w:tc>
          <w:tcPr>
            <w:tcW w:w="6280" w:type="dxa"/>
            <w:vAlign w:val="center"/>
          </w:tcPr>
          <w:p>
            <w:pPr>
              <w:widowControl/>
              <w:jc w:val="center"/>
              <w:rPr>
                <w:rFonts w:ascii="宋体" w:hAnsi="宋体" w:cs="宋体"/>
                <w:sz w:val="24"/>
              </w:rPr>
            </w:pPr>
            <w:r>
              <w:rPr>
                <w:rFonts w:hint="eastAsia" w:ascii="宋体" w:hAnsi="宋体" w:cs="宋体"/>
                <w:sz w:val="24"/>
              </w:rPr>
              <w:t>全面推进党政机关带头过紧日子，推动市级机关办公用房集中统一租赁，减少在外租赁约7000㎡。加强公物仓运营管理，全年完成资产调拨借用2429件。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会同有关部门组织拟订市级机关后勤体制改革制度、 办法并监督实施，指导市级机关后勤服务工作。负责市级机关相对集中办公区的后勤管理工作。</w:t>
            </w:r>
          </w:p>
        </w:tc>
        <w:tc>
          <w:tcPr>
            <w:tcW w:w="3818" w:type="dxa"/>
            <w:vAlign w:val="center"/>
          </w:tcPr>
          <w:p>
            <w:pPr>
              <w:widowControl/>
              <w:jc w:val="center"/>
              <w:rPr>
                <w:rFonts w:ascii="宋体" w:hAnsi="宋体" w:cs="宋体"/>
                <w:sz w:val="24"/>
              </w:rPr>
            </w:pPr>
            <w:r>
              <w:rPr>
                <w:rFonts w:hint="eastAsia" w:ascii="宋体" w:hAnsi="宋体" w:cs="宋体"/>
                <w:sz w:val="24"/>
              </w:rPr>
              <w:t>坚持网格化、标准化、精细化、智慧化来强化集中办公区管理，高质高效提供后勤等服务，深入开展暖心行动。</w:t>
            </w:r>
          </w:p>
        </w:tc>
        <w:tc>
          <w:tcPr>
            <w:tcW w:w="6280" w:type="dxa"/>
            <w:vAlign w:val="center"/>
          </w:tcPr>
          <w:p>
            <w:pPr>
              <w:widowControl/>
              <w:jc w:val="center"/>
              <w:rPr>
                <w:rFonts w:ascii="宋体" w:hAnsi="宋体" w:cs="宋体"/>
                <w:sz w:val="24"/>
              </w:rPr>
            </w:pPr>
            <w:r>
              <w:rPr>
                <w:rFonts w:hint="eastAsia" w:ascii="宋体" w:hAnsi="宋体" w:cs="宋体"/>
                <w:sz w:val="24"/>
              </w:rPr>
              <w:t>优化市行政中心商超业态布局，推进“好房好车·苏品苏货”进机关行动等各类展销活动，优化食堂餐线布局，丰富餐饮供给品类，推出“四大中心停车优化”等惠民举措，盘活闲置办公区域建成共享会议室。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拟订党政机关办公用房管理制度和办法并组织实施， 会同有关部门指导监督下级党政机关办公用房管理工作。按规定负责市级党政机关办公用房的项目初审、规划、建设、调配、大 中修、处置和权属等管理，以及市级机关用地管理工作。会同有关部门指导党政机关办公用房附属的人防工程和设施的管理工作。</w:t>
            </w:r>
          </w:p>
        </w:tc>
        <w:tc>
          <w:tcPr>
            <w:tcW w:w="3818" w:type="dxa"/>
            <w:vAlign w:val="center"/>
          </w:tcPr>
          <w:p>
            <w:pPr>
              <w:widowControl/>
              <w:jc w:val="center"/>
              <w:rPr>
                <w:rFonts w:ascii="宋体" w:hAnsi="宋体" w:cs="宋体"/>
                <w:sz w:val="24"/>
              </w:rPr>
            </w:pPr>
            <w:r>
              <w:rPr>
                <w:rFonts w:hint="eastAsia" w:ascii="宋体" w:hAnsi="宋体" w:cs="宋体"/>
                <w:sz w:val="24"/>
              </w:rPr>
              <w:t>深化市级行政事业单位房产管理。全面摸清市级行政事业单位房产基础情况，推动闲置房产有效盘活利用。</w:t>
            </w:r>
          </w:p>
        </w:tc>
        <w:tc>
          <w:tcPr>
            <w:tcW w:w="6280" w:type="dxa"/>
            <w:vAlign w:val="center"/>
          </w:tcPr>
          <w:p>
            <w:pPr>
              <w:widowControl/>
              <w:jc w:val="center"/>
              <w:rPr>
                <w:rFonts w:ascii="宋体" w:hAnsi="宋体" w:cs="宋体"/>
                <w:sz w:val="24"/>
              </w:rPr>
            </w:pPr>
            <w:r>
              <w:rPr>
                <w:rFonts w:hint="eastAsia" w:ascii="宋体" w:hAnsi="宋体" w:cs="宋体"/>
                <w:sz w:val="24"/>
              </w:rPr>
              <w:t>开展市级行政事业性房产摸底清查，完成1461处、691万㎡房产核查。紧抓政策窗口期推进权属登记，完成261处房产权属登记。加快闲置低效房产及地块盘活使用，“幸福小厨”“邻里食堂”等惠民项目相继落地。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拟订党政机关公务用车管理制度和办法并组织实施， 指导监督下级党政机关公务用车管理工作。按规定负责市级党政机关公务用车的编制、标准、配备等管理工作。</w:t>
            </w:r>
          </w:p>
        </w:tc>
        <w:tc>
          <w:tcPr>
            <w:tcW w:w="3818" w:type="dxa"/>
            <w:vAlign w:val="center"/>
          </w:tcPr>
          <w:p>
            <w:pPr>
              <w:widowControl/>
              <w:jc w:val="center"/>
              <w:rPr>
                <w:rFonts w:ascii="宋体" w:hAnsi="宋体" w:cs="宋体"/>
                <w:sz w:val="24"/>
              </w:rPr>
            </w:pPr>
            <w:r>
              <w:rPr>
                <w:rFonts w:hint="eastAsia" w:ascii="宋体" w:hAnsi="宋体" w:cs="宋体"/>
                <w:sz w:val="24"/>
              </w:rPr>
              <w:t>深入推进公务用车运维保障改革。</w:t>
            </w:r>
          </w:p>
        </w:tc>
        <w:tc>
          <w:tcPr>
            <w:tcW w:w="6280" w:type="dxa"/>
            <w:vAlign w:val="center"/>
          </w:tcPr>
          <w:p>
            <w:pPr>
              <w:widowControl/>
              <w:jc w:val="center"/>
              <w:rPr>
                <w:rFonts w:ascii="宋体" w:hAnsi="宋体" w:cs="宋体"/>
                <w:sz w:val="24"/>
              </w:rPr>
            </w:pPr>
            <w:r>
              <w:rPr>
                <w:rFonts w:hint="eastAsia" w:ascii="宋体" w:hAnsi="宋体" w:cs="宋体"/>
                <w:sz w:val="24"/>
              </w:rPr>
              <w:t>启动数字公车市域一体化平台建设，开展公车运维专项整治，制定公务出行社会车辆租用负面清单，杜绝不合理维修、租车等行为。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推进、指导、协调、监督全市公共机构节能工作。负责市级公共机构节能管理工作。</w:t>
            </w:r>
          </w:p>
        </w:tc>
        <w:tc>
          <w:tcPr>
            <w:tcW w:w="3818" w:type="dxa"/>
            <w:vAlign w:val="center"/>
          </w:tcPr>
          <w:p>
            <w:pPr>
              <w:widowControl/>
              <w:jc w:val="center"/>
              <w:rPr>
                <w:rFonts w:ascii="宋体" w:hAnsi="宋体" w:cs="宋体"/>
                <w:sz w:val="24"/>
              </w:rPr>
            </w:pPr>
            <w:r>
              <w:rPr>
                <w:rFonts w:hint="eastAsia" w:ascii="宋体" w:hAnsi="宋体" w:cs="宋体"/>
                <w:sz w:val="24"/>
              </w:rPr>
              <w:t>扩大公共机构绿色低碳示范效应。推动全市分布式光伏建设。扎实做好2024年度全市公共机构能耗，强化统计结果分析应用和能源费用托管服务扩面提质</w:t>
            </w:r>
          </w:p>
        </w:tc>
        <w:tc>
          <w:tcPr>
            <w:tcW w:w="6280" w:type="dxa"/>
            <w:vAlign w:val="center"/>
          </w:tcPr>
          <w:p>
            <w:pPr>
              <w:widowControl/>
              <w:jc w:val="center"/>
              <w:rPr>
                <w:rFonts w:ascii="宋体" w:hAnsi="宋体" w:cs="宋体"/>
                <w:sz w:val="24"/>
              </w:rPr>
            </w:pPr>
            <w:r>
              <w:rPr>
                <w:rFonts w:hint="eastAsia" w:ascii="宋体" w:hAnsi="宋体" w:cs="宋体"/>
                <w:sz w:val="24"/>
              </w:rPr>
              <w:t>启动市级党政机关能源费用集中托管，市行政中心北广场光伏车棚建成投用，完成全市公共机构碳资产统计核算并开展碳资产交易，市行政中心成功获评全国“节约型公共机构示范单位”。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完成市委、市政府交办的其他任务。</w:t>
            </w:r>
          </w:p>
        </w:tc>
        <w:tc>
          <w:tcPr>
            <w:tcW w:w="3818" w:type="dxa"/>
            <w:vAlign w:val="center"/>
          </w:tcPr>
          <w:p>
            <w:pPr>
              <w:widowControl/>
              <w:jc w:val="center"/>
              <w:rPr>
                <w:rFonts w:ascii="宋体" w:hAnsi="宋体" w:cs="宋体"/>
                <w:sz w:val="24"/>
              </w:rPr>
            </w:pPr>
            <w:r>
              <w:rPr>
                <w:rFonts w:hint="eastAsia" w:ascii="宋体" w:hAnsi="宋体" w:cs="宋体"/>
                <w:sz w:val="24"/>
              </w:rPr>
              <w:t>提高政治站位，把围绕大局、服务中心的各项工作，把市委、市政府交办的各项任务，把机关事务的服务保障和管理的各项要求不折不扣地落实好。</w:t>
            </w:r>
          </w:p>
        </w:tc>
        <w:tc>
          <w:tcPr>
            <w:tcW w:w="6280" w:type="dxa"/>
            <w:vAlign w:val="center"/>
          </w:tcPr>
          <w:p>
            <w:pPr>
              <w:widowControl/>
              <w:jc w:val="center"/>
              <w:rPr>
                <w:rFonts w:ascii="宋体" w:hAnsi="宋体" w:cs="宋体"/>
                <w:sz w:val="24"/>
              </w:rPr>
            </w:pPr>
            <w:r>
              <w:rPr>
                <w:rFonts w:hint="eastAsia" w:ascii="宋体" w:hAnsi="宋体" w:cs="宋体"/>
                <w:sz w:val="24"/>
              </w:rPr>
              <w:t>围绕市委、市政府中心工作，坚持勤俭办一切事业，纵深推进行政事业性资产管理，实施物业服务集中统管，加快公共机构绿色转型步伐，持续传递服务保障民生温度。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协助有关部门制定市级机关行政经费管理制度并组织 实施。会同有关部门负责市级党政机关办公用房大中修经费使用管理。</w:t>
            </w:r>
          </w:p>
        </w:tc>
        <w:tc>
          <w:tcPr>
            <w:tcW w:w="3818" w:type="dxa"/>
            <w:vAlign w:val="center"/>
          </w:tcPr>
          <w:p>
            <w:pPr>
              <w:widowControl/>
              <w:jc w:val="center"/>
              <w:rPr>
                <w:rFonts w:ascii="宋体" w:hAnsi="宋体" w:cs="宋体"/>
                <w:sz w:val="24"/>
              </w:rPr>
            </w:pPr>
            <w:r>
              <w:rPr>
                <w:rFonts w:hint="eastAsia" w:ascii="宋体" w:hAnsi="宋体" w:cs="宋体"/>
                <w:sz w:val="24"/>
              </w:rPr>
              <w:t>认真做好委托代理单位的相关财务管理工作。做好乌鹊桥路68号等维修改造工作。</w:t>
            </w:r>
          </w:p>
        </w:tc>
        <w:tc>
          <w:tcPr>
            <w:tcW w:w="6280" w:type="dxa"/>
            <w:vAlign w:val="center"/>
          </w:tcPr>
          <w:p>
            <w:pPr>
              <w:widowControl/>
              <w:jc w:val="center"/>
              <w:rPr>
                <w:rFonts w:ascii="宋体" w:hAnsi="宋体" w:cs="宋体"/>
                <w:sz w:val="24"/>
              </w:rPr>
            </w:pPr>
            <w:r>
              <w:rPr>
                <w:rFonts w:hint="eastAsia" w:ascii="宋体" w:hAnsi="宋体" w:cs="宋体"/>
                <w:sz w:val="24"/>
              </w:rPr>
              <w:t>认真做好59家委托代理单位的相关财务管理工作。乌鹊桥路68号等维修改造工作顺利完成。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指导和协调市级机关绿化、爱国卫生、安全等工作。</w:t>
            </w:r>
          </w:p>
        </w:tc>
        <w:tc>
          <w:tcPr>
            <w:tcW w:w="3818" w:type="dxa"/>
            <w:vAlign w:val="center"/>
          </w:tcPr>
          <w:p>
            <w:pPr>
              <w:widowControl/>
              <w:jc w:val="center"/>
              <w:rPr>
                <w:rFonts w:ascii="宋体" w:hAnsi="宋体" w:cs="宋体"/>
                <w:sz w:val="24"/>
              </w:rPr>
            </w:pPr>
            <w:r>
              <w:rPr>
                <w:rFonts w:hint="eastAsia" w:ascii="宋体" w:hAnsi="宋体" w:cs="宋体"/>
                <w:sz w:val="24"/>
              </w:rPr>
              <w:t>积极做好门卫安全保卫等工作。</w:t>
            </w:r>
          </w:p>
        </w:tc>
        <w:tc>
          <w:tcPr>
            <w:tcW w:w="6280" w:type="dxa"/>
            <w:vAlign w:val="center"/>
          </w:tcPr>
          <w:p>
            <w:pPr>
              <w:widowControl/>
              <w:jc w:val="center"/>
              <w:rPr>
                <w:rFonts w:ascii="宋体" w:hAnsi="宋体" w:cs="宋体"/>
                <w:sz w:val="24"/>
              </w:rPr>
            </w:pPr>
            <w:r>
              <w:rPr>
                <w:rFonts w:hint="eastAsia" w:ascii="宋体" w:hAnsi="宋体" w:cs="宋体"/>
                <w:sz w:val="24"/>
              </w:rPr>
              <w:t>推进市行政中心智慧停车引导项目，打造无人机和机器狗“空地一体化”智慧巡逻网络，严格集中办公区动火作业监管，完成问题电动自行车筛查整改，开展校园安全除患行动，推动吴趋坊157号等房产隐患整改。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指导全市机关事务管理工作，拟订机关事务管理的政策、规划和规章制度并组织实施。负责市级机关事务的管理、保障、服务工作。</w:t>
            </w:r>
          </w:p>
        </w:tc>
        <w:tc>
          <w:tcPr>
            <w:tcW w:w="3818" w:type="dxa"/>
            <w:vAlign w:val="center"/>
          </w:tcPr>
          <w:p>
            <w:pPr>
              <w:widowControl/>
              <w:jc w:val="center"/>
              <w:rPr>
                <w:rFonts w:ascii="宋体" w:hAnsi="宋体" w:cs="宋体"/>
                <w:sz w:val="24"/>
              </w:rPr>
            </w:pPr>
            <w:r>
              <w:rPr>
                <w:rFonts w:hint="eastAsia" w:ascii="宋体" w:hAnsi="宋体" w:cs="宋体"/>
                <w:sz w:val="24"/>
              </w:rPr>
              <w:t>全面推进党政机关带头过紧日子，严格办公用房管理，加强公物仓运营管理，深入推进公务用车运维保障改革，持续推进全市跨部门通用类品目集中采购，全力保障集中办公区安全有序运转。</w:t>
            </w:r>
          </w:p>
        </w:tc>
        <w:tc>
          <w:tcPr>
            <w:tcW w:w="6280" w:type="dxa"/>
            <w:vAlign w:val="center"/>
          </w:tcPr>
          <w:p>
            <w:pPr>
              <w:widowControl/>
              <w:jc w:val="center"/>
              <w:rPr>
                <w:rFonts w:ascii="宋体" w:hAnsi="宋体" w:cs="宋体"/>
                <w:sz w:val="24"/>
              </w:rPr>
            </w:pPr>
            <w:r>
              <w:rPr>
                <w:rFonts w:hint="eastAsia" w:ascii="宋体" w:hAnsi="宋体" w:cs="宋体"/>
                <w:sz w:val="24"/>
              </w:rPr>
              <w:t>深入落实党政机关过紧日子要求，统筹制定办公用房配置工作方案，全年完成调配约3.5万㎡，减少租赁约7000㎡。首次将公务用车纳入调配范畴。深化公务用车运维保障改革，启动数字公车市域一体化平台建设。稳步推进跨部门通用类品目集中采购，年度综合节资率达41.5%。深化集中办公区安全生产“六化”建设，保障机关有序运转。	</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97.82%</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-2.18%</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23.47%</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134.70%</w:t>
            </w:r>
          </w:p>
        </w:tc>
        <w:tc>
          <w:tcPr>
            <w:tcW w:w="1071" w:type="dxa"/>
          </w:tcPr>
          <w:p>
            <w:pPr>
              <w:spacing w:line="360" w:lineRule="auto"/>
              <w:rPr>
                <w:rFonts w:ascii="宋体" w:hAnsi="宋体" w:cs="宋体"/>
                <w:kern w:val="0"/>
                <w:sz w:val="22"/>
              </w:rPr>
            </w:pPr>
            <w:r>
              <w:rPr>
                <w:rFonts w:hint="eastAsia" w:ascii="宋体" w:hAnsi="宋体" w:cs="宋体"/>
                <w:sz w:val="24"/>
              </w:rPr>
              <w:t>2025年实施市级党政机关办公用房租赁和物业服务集中统管，其中办公用房租赁费用列入局本级预算，物业服务经费列入市级机关物业中心预算，相关预算于2025年部门预算“二下”后划转，导致预算偏差率较大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83.05%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-16.95%</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-1.4%</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保障机构稳定运转</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稳定运转</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稳定运转</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p>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后勤服务满意度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3.16%</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测绘准确性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较高</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较高</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租赁任务完成率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财产保险范围覆盖面积</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=237000平方米</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237000平方米</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安保服务面积</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=17万平方米</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17万平方米</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采用节能环保材料，倡导绿色环保理念</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节能环保</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节能环保</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保障公车数量</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=351辆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351辆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公车管理节约增效</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节约经费增加效能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节约经费增加效能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财务服务完成及时性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及时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及时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合同订立合法性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合法</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合法</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