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D7DC1">
      <w:pPr>
        <w:rPr>
          <w:rFonts w:eastAsia="仿宋_GB2312"/>
          <w:sz w:val="30"/>
        </w:rPr>
      </w:pPr>
    </w:p>
    <w:p w14:paraId="2A6F3B9F">
      <w:pPr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苏州市市级预算部门（单位）整体支出预算绩效自评报告</w:t>
      </w:r>
    </w:p>
    <w:p w14:paraId="4A05E983">
      <w:pPr>
        <w:spacing w:line="360" w:lineRule="auto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（202</w:t>
      </w:r>
      <w:r>
        <w:rPr>
          <w:rFonts w:hint="eastAsia" w:ascii="黑体" w:eastAsia="黑体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年度）</w:t>
      </w:r>
    </w:p>
    <w:p w14:paraId="2D0D461F">
      <w:pPr>
        <w:spacing w:line="360" w:lineRule="auto"/>
        <w:jc w:val="center"/>
        <w:rPr>
          <w:rFonts w:eastAsia="仿宋_GB2312"/>
          <w:sz w:val="30"/>
        </w:rPr>
      </w:pPr>
    </w:p>
    <w:p w14:paraId="0B85D768">
      <w:pPr>
        <w:spacing w:line="360" w:lineRule="auto"/>
        <w:ind w:firstLine="600" w:firstLineChars="2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一、预算部门名称：</w:t>
      </w:r>
      <w:r>
        <w:rPr>
          <w:rFonts w:hint="eastAsia" w:ascii="宋体" w:hAnsi="宋体" w:cs="宋体"/>
          <w:sz w:val="24"/>
        </w:rPr>
        <w:t>苏州市民治路幼儿园</w:t>
      </w:r>
    </w:p>
    <w:p w14:paraId="58F772EF">
      <w:pPr>
        <w:spacing w:line="360" w:lineRule="auto"/>
        <w:ind w:firstLine="600" w:firstLineChars="2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二、</w:t>
      </w:r>
      <w:r>
        <w:rPr>
          <w:rFonts w:ascii="黑体" w:hAnsi="黑体" w:eastAsia="黑体"/>
          <w:sz w:val="30"/>
        </w:rPr>
        <w:t>年度履职目标完成情况</w:t>
      </w:r>
      <w:r>
        <w:rPr>
          <w:rFonts w:hint="eastAsia" w:ascii="黑体" w:hAnsi="黑体" w:eastAsia="黑体"/>
          <w:sz w:val="30"/>
        </w:rPr>
        <w:t>：</w:t>
      </w:r>
    </w:p>
    <w:p w14:paraId="612F7DFF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2025年度，我园紧扣主管局和教育部门年度工作要点，在延续目标引领与过程督导的基础上，进一步强化主动治理与预防机制。将年度任务精准分解至各部门，明确时间节点与责任主体，通过定期自查自纠与动态研判，确保工作始终运行在高质量轨道。本年度内，园所无重大需销号问题及投诉事项发生，通过常态化开展思想意识提升与工作效能查摆，实现了从“被动整改”到“主动优化”的转变。依托闭环管理机制，全年各项履职任务均高效达成，并按时向局汇报进展，以持续的内部改进为办园质量提升注入了更强动力。</w:t>
      </w:r>
    </w:p>
    <w:p w14:paraId="5F3839C4"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三、部门（单位）概况</w:t>
      </w:r>
    </w:p>
    <w:p w14:paraId="7D338969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苏州市民治路幼儿园为苏州市机关事务管理局下属事业单位，分类定性为公益二类。主要职能：1、为学龄前儿童提供保育和教育服务2、提供与幼儿教育相关的社会服务3、宣传科学保育和幼儿教育知识，配合创设良好的家庭教育环境4、开展幼儿教师队伍培训。根据单位职责分工，本单位内设机构包括：园长室、办公室、政教室、科教室、后勤部、财务室、保健室、大班年级组、中班年级组、小班年级组、托班年级组。截止2025年年末，事业在编人员62人，离退休人员55人。</w:t>
      </w:r>
    </w:p>
    <w:p w14:paraId="201729EA"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四、部门</w:t>
      </w:r>
      <w:r>
        <w:rPr>
          <w:rFonts w:ascii="黑体" w:hAnsi="黑体" w:eastAsia="黑体"/>
          <w:sz w:val="30"/>
        </w:rPr>
        <w:t>（</w:t>
      </w:r>
      <w:r>
        <w:rPr>
          <w:rFonts w:hint="eastAsia" w:ascii="黑体" w:hAnsi="黑体" w:eastAsia="黑体"/>
          <w:sz w:val="30"/>
        </w:rPr>
        <w:t>单位</w:t>
      </w:r>
      <w:r>
        <w:rPr>
          <w:rFonts w:ascii="黑体" w:hAnsi="黑体" w:eastAsia="黑体"/>
          <w:sz w:val="30"/>
        </w:rPr>
        <w:t>）</w:t>
      </w:r>
      <w:r>
        <w:rPr>
          <w:rFonts w:hint="eastAsia" w:ascii="黑体" w:hAnsi="黑体" w:eastAsia="黑体"/>
          <w:sz w:val="30"/>
        </w:rPr>
        <w:t>整体支出绩效实现情况</w:t>
      </w:r>
    </w:p>
    <w:p w14:paraId="7D81C34A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2025年度，幼儿园整体支出绩效显著提升。预算资金精准聚焦于教学活动创新、师资梯队建设及园所环境优化三大核心领域。教学活动方面，资金重点保障课程资源的动态更新与多元化活动材料的配置，支持幼儿在丰富的探究体验中实现全面发展。师资培训紧密贴合教育发展趋势与园本实际需求，通过分层分类的研修项目，帮助教师在专业理念与实践能力上实现个性化提升，为保教质量注入持续活力。设施维护方面，常态化开展隐患排查与适儿化改造，确保园舍安全舒适，为幼儿成长营造高品质环境。本年度，得益于严格的预算执行与全过程绩效监控，资金使用效益与透明度进一步提高，家长满意度达99.6%，各项支出均精准服务于幼儿成长与园所内涵发展，圆满达成预期绩效目标，为办好人民满意的优质学前教育提供了坚实保障。</w:t>
      </w:r>
    </w:p>
    <w:p w14:paraId="1B2DC329"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五、部门</w:t>
      </w:r>
      <w:r>
        <w:rPr>
          <w:rFonts w:ascii="黑体" w:hAnsi="黑体" w:eastAsia="黑体"/>
          <w:sz w:val="30"/>
        </w:rPr>
        <w:t>（</w:t>
      </w:r>
      <w:r>
        <w:rPr>
          <w:rFonts w:hint="eastAsia" w:ascii="黑体" w:hAnsi="黑体" w:eastAsia="黑体"/>
          <w:sz w:val="30"/>
        </w:rPr>
        <w:t>单位</w:t>
      </w:r>
      <w:r>
        <w:rPr>
          <w:rFonts w:ascii="黑体" w:hAnsi="黑体" w:eastAsia="黑体"/>
          <w:sz w:val="30"/>
        </w:rPr>
        <w:t>）</w:t>
      </w:r>
      <w:r>
        <w:rPr>
          <w:rFonts w:hint="eastAsia" w:ascii="黑体" w:hAnsi="黑体" w:eastAsia="黑体"/>
          <w:sz w:val="30"/>
        </w:rPr>
        <w:t>整体支出绩效中存</w:t>
      </w:r>
      <w:r>
        <w:rPr>
          <w:rFonts w:ascii="黑体" w:hAnsi="黑体" w:eastAsia="黑体"/>
          <w:sz w:val="30"/>
        </w:rPr>
        <w:t>在问题</w:t>
      </w:r>
      <w:r>
        <w:rPr>
          <w:rFonts w:hint="eastAsia" w:ascii="黑体" w:hAnsi="黑体" w:eastAsia="黑体"/>
          <w:sz w:val="30"/>
        </w:rPr>
        <w:t>及</w:t>
      </w:r>
      <w:r>
        <w:rPr>
          <w:rFonts w:ascii="黑体" w:hAnsi="黑体" w:eastAsia="黑体"/>
          <w:sz w:val="30"/>
        </w:rPr>
        <w:t>改进措施</w:t>
      </w:r>
    </w:p>
    <w:p w14:paraId="626F8FAD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2025年度，在主管局和园领导的正确引领下，通过全体教职工的协同努力，幼儿园预算绩效管理工作在去年基础上实现了更深层次的提质增效。绩效管理理念已从初步树立深化为全员共识，目标的设定更加科学精准，更加紧密结合学前教育发展趋势与园所实际需求。在实施过程中，园所坚持问题导向，通过优化资源配置与过程管理，确保每一笔支出精准服务于教学活动创新、师资梯队建设及环境优化。同时，更加注重绩效评价结果的转化应用，建立了快速响应机制，将评价反馈及时融入日常保教实践与内部管理优化中，实现了从“被动规范”到“主动提升”的转变，切实做到了以评促建、以管提效。</w:t>
      </w:r>
    </w:p>
    <w:p w14:paraId="088B966C"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六、</w:t>
      </w:r>
      <w:r>
        <w:rPr>
          <w:rFonts w:ascii="黑体" w:hAnsi="黑体" w:eastAsia="黑体"/>
          <w:sz w:val="30"/>
        </w:rPr>
        <w:t>绩效自评</w:t>
      </w:r>
      <w:r>
        <w:rPr>
          <w:rFonts w:hint="eastAsia" w:ascii="黑体" w:hAnsi="黑体" w:eastAsia="黑体"/>
          <w:sz w:val="30"/>
        </w:rPr>
        <w:t>结果</w:t>
      </w:r>
      <w:r>
        <w:rPr>
          <w:rFonts w:ascii="黑体" w:hAnsi="黑体" w:eastAsia="黑体"/>
          <w:sz w:val="30"/>
        </w:rPr>
        <w:t>拟应用和公开</w:t>
      </w:r>
      <w:r>
        <w:rPr>
          <w:rFonts w:hint="eastAsia" w:ascii="黑体" w:hAnsi="黑体" w:eastAsia="黑体"/>
          <w:sz w:val="30"/>
        </w:rPr>
        <w:t>情况</w:t>
      </w:r>
    </w:p>
    <w:p w14:paraId="19BBA852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1.通过绩效自评价管理，更科学、合理地制定了预算相关指标。2.通过绩效自评价管理，清晰掌握了各个时间节点以及预算执行情况。3.绩效结果与预算安排、政策调整、改进管理挂钩，有效推动了项目支出提质增效。4.绩效结果依法依规公开，接受社会监督。 </w:t>
      </w:r>
    </w:p>
    <w:p w14:paraId="77536DBD">
      <w:pPr>
        <w:spacing w:line="360" w:lineRule="auto"/>
        <w:rPr>
          <w:rFonts w:ascii="黑体" w:hAnsi="黑体" w:eastAsia="黑体"/>
          <w:sz w:val="30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7" w:h="16840"/>
          <w:pgMar w:top="1247" w:right="1400" w:bottom="1089" w:left="1559" w:header="851" w:footer="992" w:gutter="0"/>
          <w:paperSrc w:first="15" w:other="15"/>
          <w:cols w:space="720" w:num="1"/>
          <w:docGrid w:type="lines" w:linePitch="312" w:charSpace="0"/>
        </w:sectPr>
      </w:pPr>
    </w:p>
    <w:p w14:paraId="280D262C">
      <w:pPr>
        <w:numPr>
          <w:ilvl w:val="0"/>
          <w:numId w:val="1"/>
        </w:num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预算信息</w:t>
      </w:r>
    </w:p>
    <w:p w14:paraId="6B7F7FE6">
      <w:pPr>
        <w:spacing w:line="360" w:lineRule="auto"/>
        <w:ind w:left="600"/>
        <w:rPr>
          <w:rFonts w:ascii="黑体" w:hAnsi="黑体" w:eastAsia="黑体"/>
          <w:sz w:val="30"/>
        </w:rPr>
      </w:pPr>
    </w:p>
    <w:tbl>
      <w:tblPr>
        <w:tblStyle w:val="5"/>
        <w:tblW w:w="144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9"/>
        <w:gridCol w:w="2268"/>
        <w:gridCol w:w="2268"/>
        <w:gridCol w:w="2268"/>
        <w:gridCol w:w="2268"/>
        <w:gridCol w:w="2268"/>
      </w:tblGrid>
      <w:tr w14:paraId="7D632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079" w:type="dxa"/>
            <w:shd w:val="clear" w:color="000000" w:fill="BFBFBF"/>
            <w:vAlign w:val="center"/>
          </w:tcPr>
          <w:p w14:paraId="4BC6E32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本年度预算资金（万元）</w:t>
            </w:r>
            <w:r>
              <w:rPr>
                <w:rFonts w:ascii="宋体" w:hAnsi="宋体" w:cs="宋体" w:eastAsia="宋体"/>
                <w:b w:val="true"/>
                <w:color w:val=""/>
                <w:sz w:val="24"/>
                <w:u w:val="none"/>
              </w:rPr>
              <w:t/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7E2E6F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年初预算数（万元）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74B8B6D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上年度结转及当年预算追加追减数(万元）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218C2C1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调整预算数（万元）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6C2574C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实际支出数（万元）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3899CF2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执行率（%)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预算总金额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2692.08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274.78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2966.86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2840.5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95.74%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基本支出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2354.68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274.78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2629.46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2526.49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96.08%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项目支出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337.4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337.4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314.01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93.07%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保教设备购置经费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7.85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87.22%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大型修缮费用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54.88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91.47%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幼儿专项材料费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63.6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63.6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63.59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99.98%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编外用工经费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189.8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189.8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172.69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90.99%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专项业务用水用电用气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15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15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15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100.00%</w:t>
            </w:r>
          </w:p>
        </w:tc>
      </w:tr>
    </w:tbl>
    <w:p w14:paraId="131ACE80">
      <w:pPr>
        <w:spacing w:line="360" w:lineRule="auto"/>
        <w:ind w:left="600"/>
        <w:rPr>
          <w:rFonts w:ascii="黑体" w:hAnsi="黑体" w:eastAsia="黑体"/>
          <w:sz w:val="30"/>
        </w:rPr>
      </w:pPr>
    </w:p>
    <w:p w14:paraId="74045F82">
      <w:pPr>
        <w:numPr>
          <w:ilvl w:val="0"/>
          <w:numId w:val="1"/>
        </w:num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年度重点任务</w:t>
      </w:r>
    </w:p>
    <w:p w14:paraId="0D3A1920">
      <w:pPr>
        <w:spacing w:line="360" w:lineRule="auto"/>
        <w:ind w:left="600"/>
        <w:rPr>
          <w:rFonts w:ascii="黑体" w:hAnsi="黑体" w:eastAsia="黑体"/>
          <w:sz w:val="30"/>
        </w:rPr>
      </w:pPr>
    </w:p>
    <w:tbl>
      <w:tblPr>
        <w:tblStyle w:val="5"/>
        <w:tblW w:w="13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9"/>
        <w:gridCol w:w="3818"/>
        <w:gridCol w:w="6280"/>
      </w:tblGrid>
      <w:tr w14:paraId="4FD8D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419" w:type="dxa"/>
            <w:shd w:val="clear" w:color="000000" w:fill="BFBFBF"/>
            <w:vAlign w:val="center"/>
          </w:tcPr>
          <w:p w14:paraId="1644DE4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  <w:p w14:paraId="5858CDE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对应部门主要职责</w:t>
            </w:r>
          </w:p>
          <w:p w14:paraId="3F9E1C7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/>
            </w:r>
          </w:p>
        </w:tc>
        <w:tc>
          <w:tcPr>
            <w:tcW w:w="3818" w:type="dxa"/>
            <w:shd w:val="clear" w:color="000000" w:fill="BFBFBF"/>
            <w:vAlign w:val="center"/>
          </w:tcPr>
          <w:p w14:paraId="561C96F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任务名称</w:t>
            </w:r>
          </w:p>
        </w:tc>
        <w:tc>
          <w:tcPr>
            <w:tcW w:w="6280" w:type="dxa"/>
            <w:shd w:val="clear" w:color="000000" w:fill="BFBFBF"/>
            <w:vAlign w:val="center"/>
          </w:tcPr>
          <w:p w14:paraId="77A795C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rPr>
          <w:trHeight w:val="608"/>
        </w:trPr>
        <w:trPr>
          <w:trHeight w:val="608"/>
        </w:trPr>
        <w:trPr>
          <w:trHeight w:val="608"/>
        </w:trPr>
        <w:tc>
          <w:tcPr>
            <w:tcW w:w="3419" w:type="dxa"/>
            <w:vAlign w:val="center"/>
          </w:tcPr>
          <w:tcPr>
            <w:vMerge w:val="restart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开展幼儿教师队伍培训</w:t>
            </w: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开展岗位练兵活动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2025年度，围绕教师队伍建设，以岗位练兵为抓手，重点开展自然角、主题墙、自主游戏三类观摩评比活动。通过现场展示、互评研讨，推动教师优化环境创设与观察指导能力，班级自然角更显探究性，主题墙凸显课程脉络，自主游戏支持策略更精准，教师互学共研氛围浓厚，专业素养有效提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rPr>
          <w:trHeight w:val="608"/>
        </w:trPr>
        <w:trPr>
          <w:trHeight w:val="608"/>
        </w:trPr>
        <w:trPr>
          <w:trHeight w:val="608"/>
        </w:trPr>
        <w:tc>
          <w:tcPr>
            <w:tcW w:w="3419" w:type="dxa"/>
            <w:vAlign w:val="center"/>
          </w:tcPr>
          <w:tcPr>
            <w:vMerge w:val="continue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教师继续教育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2025年度，我园教师继续教育工作围绕多层次研修体系圆满完成：依托国家智慧中小学教育平台，全员完成了寒暑期师德师能及心理健康专题研修；依托苏州教师教育平台，全员完成了课程游戏化专项在线学习；同时立足本园多项在研课题，多次组织区域游戏与课程实践培训，切实解决区域材料投放与游戏观察的实际问题。本年度培训实现了理论与实践的紧密结合，有效促进了教师队伍的专业成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rPr>
          <w:trHeight w:val="608"/>
        </w:trPr>
        <w:trPr>
          <w:trHeight w:val="608"/>
        </w:trPr>
        <w:trPr>
          <w:trHeight w:val="608"/>
        </w:trPr>
        <w:tc>
          <w:tcPr>
            <w:tcW w:w="341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提供与幼儿教育相关的社会服务</w:t>
            </w: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开展校社联盟活动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搭建校社协同育人体系，整合社区、公益组织资源，结合学雷锋纪念日、生态环保等主题开展 “小小志愿者” 进社区、“土地的倾诉” 等特色保教活动 10 余场，还组织幼儿参与市级抗战胜利主题评选并斩获佳绩，实现 “教育一个幼儿、带动一个家庭” 的社会教育效果。落实在职党员进社区 “双报到、双服务”，建立三单对接机制，全年开展 6 场社区志愿服务，通过夏日送清凉、冬日送温暖等活动关怀一线劳动者，同时联合毛家桥社区打造 “暖心亲子学堂” 等特色项目，开展 4 场家长活动覆盖 60 余户家庭，精准对接社区科学育儿需求。深化校园安全防护志愿服务品牌，春秋季开学期间组建党员、团员志愿服务队在幼儿园周边及社区开展交通秩序维护、幼儿安全护送等服务，累计服务时长超 300 小时，缓解周边交通压力，切实为社区居民和幼儿家庭解决实际问题，获得广泛好评。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rPr>
          <w:trHeight w:val="608"/>
        </w:trPr>
        <w:trPr>
          <w:trHeight w:val="608"/>
        </w:trPr>
        <w:trPr>
          <w:trHeight w:val="608"/>
        </w:trPr>
        <w:tc>
          <w:tcPr>
            <w:tcW w:w="3419" w:type="dxa"/>
            <w:vAlign w:val="center"/>
          </w:tcPr>
          <w:tcPr>
            <w:vMerge w:val="restart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为学龄前儿童提供保育和教育服务</w:t>
            </w: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开展融合教育相关活动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2025年，我园秉持“怀悦纳之心，探融合之路”的理念，为3名孤独症幼儿实行弹性学制，确保教育的适配性。教学中，通过教师、康复师与家长三方协作，每周开展康复指导课程，制定个别化教育计划（IEP），实施感统、社交等专项训练。同时，通过宣传引导营造全员接纳氛围，园长杨晓晶受邀参加“智汇苏州”学术沙龙，分享实践经验，推动师资专业提升。目前，3名幼儿在语言、社交等方面进步明显，家园共育更加紧密，教师教研能力显著增强，园所融合实践获同行肯定。未来，幼儿园将继续以爱为基、以研促教，让每名特需儿童在温暖集体中快乐成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rPr>
          <w:trHeight w:val="608"/>
        </w:trPr>
        <w:trPr>
          <w:trHeight w:val="608"/>
        </w:trPr>
        <w:trPr>
          <w:trHeight w:val="608"/>
        </w:trPr>
        <w:tc>
          <w:tcPr>
            <w:tcW w:w="3419" w:type="dxa"/>
            <w:vAlign w:val="center"/>
          </w:tcPr>
          <w:tcPr>
            <w:vMerge w:val="continue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持续开展安全保障安全检查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我园始终秉持“安全第一、预防为主”的原则，全面强化安全责任意识，扎实推进“持续开展安全保障安全检查”任务。我们深入落实安全工作网格化管理，通过常态化组织安全检查，及时排查各类风险隐患，并迅速完成水、电故障的修复，以及桌椅、灯具、大型玩具等设施的维修工作，确保问题在第一时间得到有效处置，为幼儿构建安全无忧的活动环境。         在制度建设与日常防控方面，我园按规定配备专职安保人员，每日对园内重点区域进行安全巡查并详细记录；同时，严格执行值班与外来人员管理制度，落实身份核查与信息登记，严把校园入口关。在此基础上，我们系统制定并完善了涵盖火灾、防拐骗、反恐防暴、食物中毒等各类突发事件的应急预案，建立健全应急工作档案，确保责任明确到人。2025年，全园共组织开展各类应急演练6次，覆盖主要风险类型，并针对不同岗位特点开展分类培训，切实提升了师幼的风险辨识与应急处置能力。此外，我们积极构建协同防护体系，依托“警家园”三方联动机制，由双塔派出所警务人员、家长志愿者及我园教职工共同组成护学岗，于每日上下学高峰时段协同维护秩序，共同筑牢校园安全防线。通过将安全教育与应急演练有机融入幼儿一日生活，并将安全理念贯穿于保育教育的全过程，全年应急处置工作有序有力，未发生因处置不当或响应不及时导致的负面后果，为学龄前幼儿提供了坚实的保育教育服务安全屏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rPr>
          <w:trHeight w:val="608"/>
        </w:trPr>
        <w:trPr>
          <w:trHeight w:val="608"/>
        </w:trPr>
        <w:trPr>
          <w:trHeight w:val="608"/>
        </w:trPr>
        <w:tc>
          <w:tcPr>
            <w:tcW w:w="3419" w:type="dxa"/>
            <w:vAlign w:val="center"/>
          </w:tcPr>
          <w:tcPr>
            <w:vMerge w:val="continue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开展课题相关实践活动，收集案例、课件、评价表单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2025年度，本园紧扣为学龄前幼儿提供保育和教育服务的核心职责，深入开展课题引领下的课程实践研究。全年围绕苏州市教育科学“十四五”规划2022年度立项课题《基于幼儿关键发展指标的区域活动场景支持研究》，持续推进小、中、大年级组区域活动实践，于同年12月顺利完成结题工作，形成系统的区域活动研究经验和研究成果，包括论文集、案例集、课程故事集锦等。在此基础上，自9月起启动江苏省第16期中小学教学研究专项课题《活教育视域下幼儿园“大社区”项目课程实践研究》，组织教师开展项目化学习实践，同步推进典型案例、配套课件、评价表单及调查问卷的收集工作。为新立项课题的深入研究奠定了扎实的实证基础，有效实现了以研促教、教研相长的年度工作目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rPr>
          <w:trHeight w:val="608"/>
        </w:trPr>
        <w:trPr>
          <w:trHeight w:val="608"/>
        </w:trPr>
        <w:trPr>
          <w:trHeight w:val="608"/>
        </w:trPr>
        <w:tc>
          <w:tcPr>
            <w:tcW w:w="3419" w:type="dxa"/>
            <w:vAlign w:val="center"/>
          </w:tcPr>
          <w:tcPr>
            <w:vMerge w:val="continue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围绕幼儿日常生活活动、社区资源等开展园本、班本主题活动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2025年度，紧扣幼儿生活与社区资源，开展“我们的鑫震源”“民幼小苏超”等班本主题。通过自主穿衣、整理书包等生活实践强化自理力；联动社区商超、市民健身中心开展实地观察，丰富社会认知。幼儿在体验中乐学善思，家长满意度高，目标有效达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rPr>
          <w:trHeight w:val="608"/>
        </w:trPr>
        <w:trPr>
          <w:trHeight w:val="608"/>
        </w:trPr>
        <w:trPr>
          <w:trHeight w:val="608"/>
        </w:trPr>
        <w:tc>
          <w:tcPr>
            <w:tcW w:w="341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宣传科学保育和幼儿教育知识，配合创设良好的家庭教育环境</w:t>
            </w: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定期开展家委会及家长公益讲座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2025年度，我园围绕“宣传科学保育和幼儿教育知识，配合创设良好的家庭教育环境”的主要职责，定期开展了家委会及家长公益讲座系列活动。全年共组织各类活动13场次，涵盖家长讲座、家委会会议、亲子活动、开放日及膳食监督等多种形式，参与家长累计达数百人次。其中，邀请专家举办了“口腔健康 全身健康”“儿童积极心理品质的培养”等专题讲座，普及科学育儿知识；通过家委会参与安全护学、活动观摩、供应商考察等，增强家园互动与合作。这些活动有效提升了家长的教育理念和育儿能力，营造了良好的家庭教育氛围，圆满完成了年度重点任务。</w:t>
            </w:r>
          </w:p>
        </w:tc>
      </w:tr>
    </w:tbl>
    <w:p w14:paraId="24A38881">
      <w:pPr>
        <w:spacing w:line="360" w:lineRule="auto"/>
        <w:ind w:left="600"/>
        <w:rPr>
          <w:rFonts w:ascii="黑体" w:hAnsi="黑体" w:eastAsia="黑体"/>
          <w:sz w:val="30"/>
        </w:rPr>
      </w:pPr>
    </w:p>
    <w:p w14:paraId="2EB75D17">
      <w:pPr>
        <w:spacing w:line="360" w:lineRule="auto"/>
        <w:ind w:left="600"/>
        <w:rPr>
          <w:rFonts w:ascii="黑体" w:hAnsi="黑体" w:eastAsia="黑体"/>
          <w:sz w:val="30"/>
        </w:rPr>
      </w:pPr>
    </w:p>
    <w:p w14:paraId="0A35E1A9">
      <w:pPr>
        <w:numPr>
          <w:ilvl w:val="0"/>
          <w:numId w:val="1"/>
        </w:num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部门整体自评表</w:t>
      </w:r>
    </w:p>
    <w:tbl>
      <w:tblPr>
        <w:tblStyle w:val="5"/>
        <w:tblpPr w:leftFromText="180" w:rightFromText="180" w:vertAnchor="text" w:horzAnchor="page" w:tblpX="1656" w:tblpY="127"/>
        <w:tblOverlap w:val="never"/>
        <w:tblW w:w="146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7"/>
        <w:gridCol w:w="2051"/>
        <w:gridCol w:w="2061"/>
        <w:gridCol w:w="1987"/>
        <w:gridCol w:w="1799"/>
        <w:gridCol w:w="1866"/>
        <w:gridCol w:w="1787"/>
        <w:gridCol w:w="1071"/>
      </w:tblGrid>
      <w:tr w14:paraId="0B32D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067" w:type="dxa"/>
            <w:shd w:val="clear" w:color="000000" w:fill="BFBFBF"/>
            <w:vAlign w:val="center"/>
          </w:tcPr>
          <w:p w14:paraId="53BD466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/>
            </w:r>
          </w:p>
        </w:tc>
        <w:tc>
          <w:tcPr>
            <w:tcW w:w="2051" w:type="dxa"/>
            <w:shd w:val="clear" w:color="000000" w:fill="BFBFBF"/>
            <w:vAlign w:val="center"/>
          </w:tcPr>
          <w:p w14:paraId="1CC5855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类别</w:t>
            </w:r>
          </w:p>
        </w:tc>
        <w:tc>
          <w:tcPr>
            <w:tcW w:w="2061" w:type="dxa"/>
            <w:shd w:val="clear" w:color="000000" w:fill="BFBFBF"/>
            <w:vAlign w:val="center"/>
          </w:tcPr>
          <w:p w14:paraId="3F4DC3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指标名称</w:t>
            </w:r>
          </w:p>
        </w:tc>
        <w:tc>
          <w:tcPr>
            <w:tcW w:w="1987" w:type="dxa"/>
            <w:shd w:val="clear" w:color="000000" w:fill="BFBFBF"/>
            <w:vAlign w:val="center"/>
          </w:tcPr>
          <w:p w14:paraId="5D2A296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指标目标值</w:t>
            </w:r>
          </w:p>
        </w:tc>
        <w:tc>
          <w:tcPr>
            <w:tcW w:w="1799" w:type="dxa"/>
            <w:shd w:val="clear" w:color="000000" w:fill="BFBFBF"/>
            <w:vAlign w:val="center"/>
          </w:tcPr>
          <w:p w14:paraId="700B5F4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指标完成值</w:t>
            </w:r>
          </w:p>
        </w:tc>
        <w:tc>
          <w:tcPr>
            <w:tcW w:w="1866" w:type="dxa"/>
            <w:shd w:val="clear" w:color="000000" w:fill="BFBFBF"/>
            <w:vAlign w:val="center"/>
          </w:tcPr>
          <w:p w14:paraId="3082178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完成值来源</w:t>
            </w:r>
          </w:p>
        </w:tc>
        <w:tc>
          <w:tcPr>
            <w:tcW w:w="1787" w:type="dxa"/>
            <w:shd w:val="clear" w:color="000000" w:fill="BFBFBF"/>
            <w:vAlign w:val="center"/>
          </w:tcPr>
          <w:p w14:paraId="49382FB0">
            <w:pPr>
              <w:widowControl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偏差情况</w:t>
            </w:r>
          </w:p>
        </w:tc>
        <w:tc>
          <w:tcPr>
            <w:tcW w:w="1071" w:type="dxa"/>
            <w:shd w:val="clear" w:color="000000" w:fill="BFBFBF"/>
          </w:tcPr>
          <w:p w14:paraId="6998F3EA">
            <w:pPr>
              <w:widowControl/>
              <w:jc w:val="center"/>
              <w:rPr>
                <w:rFonts w:ascii="黑体" w:hAnsi="黑体" w:eastAsia="黑体"/>
                <w:sz w:val="30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原因分析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restart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分解目标</w:t>
            </w:r>
          </w:p>
        </w:tc>
        <w:tc>
          <w:tcPr>
            <w:tcW w:w="2051" w:type="dxa"/>
            <w:vAlign w:val="center"/>
          </w:tcPr>
          <w:tcPr>
            <w:vMerge w:val="restart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决策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工作计划制定健全性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中长期规划制定健全性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绩效指标明确性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明确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明确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绩效目标合理性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合理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合理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预算编制科学性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科学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科学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预算编制规范性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restart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过程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预决算信息公开度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公开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公开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绩效管理覆盖率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非税收入管理合规性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资金使用合规性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基础信息完善性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完善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完善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固定资产利用率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资产管理制度健全性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资产管理规范性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项目管理制度执行规范性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在职人员控制率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87.3%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-12.70%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人员管理制度执行有效性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人员管理制度健全性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纪检监察工作有效性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业务学习与培训及时完成率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组织建设工作及时完成率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非税收入预算完成率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85.47%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-14.53%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>按相关规定，2025年9月起大班年龄段幼儿免收保育教育费。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预算调整率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预算执行率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95.74%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-4.26%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预算偏差率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&lt;=10%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4.26%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-57.40%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结转结余率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“三公经费”变动率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&lt;=0%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政府采购执行率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公用经费控制率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&lt;=100%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96.61%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-3.39%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支付进度符合率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restart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效益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幼儿参与社会公益活动次数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&gt;=2次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3次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校园安全事故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=0次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0次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公众号更新次数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&gt;=160次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168次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满意度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服务满意度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&gt;=95%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99.6%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4.84%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restart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履职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家长活动次数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&gt;=6次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6次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完成率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练兵活动次数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&gt;=6次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6次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实践活动次数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&gt;=10次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10次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校社联盟活动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&gt;=4次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6次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主题活动次数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&gt;=10次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10次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保障检查次数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&gt;=12次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12次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特教指导次数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&gt;=10次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12次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文件资料、统计数据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</w:tbl>
    <w:p w14:paraId="7B5F5F05">
      <w:pPr>
        <w:spacing w:line="360" w:lineRule="auto"/>
        <w:ind w:left="600"/>
        <w:rPr>
          <w:rFonts w:ascii="黑体" w:hAnsi="黑体" w:eastAsia="黑体"/>
          <w:sz w:val="30"/>
        </w:rPr>
      </w:pPr>
    </w:p>
    <w:sectPr>
      <w:headerReference r:id="rId7" w:type="default"/>
      <w:footerReference r:id="rId8" w:type="default"/>
      <w:pgSz w:w="16840" w:h="11907" w:orient="landscape"/>
      <w:pgMar w:top="1559" w:right="1247" w:bottom="1400" w:left="1089" w:header="851" w:footer="992" w:gutter="0"/>
      <w:paperSrc w:first="15" w:other="1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23819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 w14:paraId="0C328767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7DEFE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094E44E9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66061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52662FC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375BC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57BC6"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2CE92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7BB9F1"/>
    <w:multiLevelType w:val="singleLevel"/>
    <w:tmpl w:val="5D7BB9F1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I2ZWIxNzBhOWM3YmNkMjVjMWZjMWQ2NzA4MDFlZmYifQ=="/>
  </w:docVars>
  <w:rsids>
    <w:rsidRoot w:val="00063C33"/>
    <w:rsid w:val="00000AE5"/>
    <w:rsid w:val="0000149B"/>
    <w:rsid w:val="00003466"/>
    <w:rsid w:val="00005172"/>
    <w:rsid w:val="000100EA"/>
    <w:rsid w:val="000174EF"/>
    <w:rsid w:val="00017B0A"/>
    <w:rsid w:val="00023671"/>
    <w:rsid w:val="00026029"/>
    <w:rsid w:val="000264BF"/>
    <w:rsid w:val="00037A63"/>
    <w:rsid w:val="00040CA6"/>
    <w:rsid w:val="00043B48"/>
    <w:rsid w:val="00052BE5"/>
    <w:rsid w:val="00060137"/>
    <w:rsid w:val="00063750"/>
    <w:rsid w:val="00063C33"/>
    <w:rsid w:val="00063D5B"/>
    <w:rsid w:val="00065156"/>
    <w:rsid w:val="00065B29"/>
    <w:rsid w:val="00067138"/>
    <w:rsid w:val="0006750F"/>
    <w:rsid w:val="000744C4"/>
    <w:rsid w:val="00075453"/>
    <w:rsid w:val="00075D05"/>
    <w:rsid w:val="000822BA"/>
    <w:rsid w:val="000824B9"/>
    <w:rsid w:val="00083E7F"/>
    <w:rsid w:val="000903A9"/>
    <w:rsid w:val="00090A12"/>
    <w:rsid w:val="00091DCD"/>
    <w:rsid w:val="000920AE"/>
    <w:rsid w:val="00096524"/>
    <w:rsid w:val="000A413D"/>
    <w:rsid w:val="000A5944"/>
    <w:rsid w:val="000B00C1"/>
    <w:rsid w:val="000B1FE0"/>
    <w:rsid w:val="000B2275"/>
    <w:rsid w:val="000B2CE5"/>
    <w:rsid w:val="000B5A1C"/>
    <w:rsid w:val="000B7645"/>
    <w:rsid w:val="000C44B7"/>
    <w:rsid w:val="000E5B04"/>
    <w:rsid w:val="000E69D0"/>
    <w:rsid w:val="000E7FBE"/>
    <w:rsid w:val="000F10A1"/>
    <w:rsid w:val="000F2CE9"/>
    <w:rsid w:val="000F5BD7"/>
    <w:rsid w:val="000F6964"/>
    <w:rsid w:val="00100A3B"/>
    <w:rsid w:val="001014B4"/>
    <w:rsid w:val="00104DFE"/>
    <w:rsid w:val="00106E72"/>
    <w:rsid w:val="00113289"/>
    <w:rsid w:val="00113D04"/>
    <w:rsid w:val="00113E8E"/>
    <w:rsid w:val="0011541B"/>
    <w:rsid w:val="0012134D"/>
    <w:rsid w:val="001220BE"/>
    <w:rsid w:val="00125CF2"/>
    <w:rsid w:val="00126E12"/>
    <w:rsid w:val="00130587"/>
    <w:rsid w:val="00130A6B"/>
    <w:rsid w:val="00131B00"/>
    <w:rsid w:val="00132D88"/>
    <w:rsid w:val="00133A9B"/>
    <w:rsid w:val="0013429F"/>
    <w:rsid w:val="001410F0"/>
    <w:rsid w:val="001420CF"/>
    <w:rsid w:val="00143A75"/>
    <w:rsid w:val="00143BA3"/>
    <w:rsid w:val="0014417A"/>
    <w:rsid w:val="001451E1"/>
    <w:rsid w:val="00147FEA"/>
    <w:rsid w:val="0015165E"/>
    <w:rsid w:val="00155CA1"/>
    <w:rsid w:val="001612E1"/>
    <w:rsid w:val="00164523"/>
    <w:rsid w:val="00165B5D"/>
    <w:rsid w:val="001662B4"/>
    <w:rsid w:val="0017063E"/>
    <w:rsid w:val="00177F82"/>
    <w:rsid w:val="001808D8"/>
    <w:rsid w:val="0018270E"/>
    <w:rsid w:val="00182B89"/>
    <w:rsid w:val="00182FC9"/>
    <w:rsid w:val="00190510"/>
    <w:rsid w:val="001A0AFE"/>
    <w:rsid w:val="001A1132"/>
    <w:rsid w:val="001B04B5"/>
    <w:rsid w:val="001B5269"/>
    <w:rsid w:val="001B7A52"/>
    <w:rsid w:val="001C0B83"/>
    <w:rsid w:val="001C31AD"/>
    <w:rsid w:val="001C4669"/>
    <w:rsid w:val="001C64FE"/>
    <w:rsid w:val="001C7FFB"/>
    <w:rsid w:val="001D03A1"/>
    <w:rsid w:val="001D2206"/>
    <w:rsid w:val="001D31D8"/>
    <w:rsid w:val="001D41B6"/>
    <w:rsid w:val="001D785B"/>
    <w:rsid w:val="001D7F4F"/>
    <w:rsid w:val="001E09A5"/>
    <w:rsid w:val="001E11AE"/>
    <w:rsid w:val="001E387E"/>
    <w:rsid w:val="001E4826"/>
    <w:rsid w:val="001E55E3"/>
    <w:rsid w:val="001F0EC7"/>
    <w:rsid w:val="001F1C88"/>
    <w:rsid w:val="001F2939"/>
    <w:rsid w:val="001F3B30"/>
    <w:rsid w:val="001F3BCB"/>
    <w:rsid w:val="00200D3F"/>
    <w:rsid w:val="0020308A"/>
    <w:rsid w:val="00204221"/>
    <w:rsid w:val="00206133"/>
    <w:rsid w:val="00213BC8"/>
    <w:rsid w:val="00216350"/>
    <w:rsid w:val="002166D3"/>
    <w:rsid w:val="00216F1E"/>
    <w:rsid w:val="00217E52"/>
    <w:rsid w:val="00222156"/>
    <w:rsid w:val="00223CA3"/>
    <w:rsid w:val="00227A2B"/>
    <w:rsid w:val="0023035D"/>
    <w:rsid w:val="002340B0"/>
    <w:rsid w:val="00234E4B"/>
    <w:rsid w:val="0023634E"/>
    <w:rsid w:val="002408C3"/>
    <w:rsid w:val="0024113F"/>
    <w:rsid w:val="00244426"/>
    <w:rsid w:val="0024746E"/>
    <w:rsid w:val="0025051E"/>
    <w:rsid w:val="00252592"/>
    <w:rsid w:val="00253D90"/>
    <w:rsid w:val="0025423D"/>
    <w:rsid w:val="00254F9A"/>
    <w:rsid w:val="00257BC2"/>
    <w:rsid w:val="00261488"/>
    <w:rsid w:val="00264AA2"/>
    <w:rsid w:val="00265B16"/>
    <w:rsid w:val="00265DA5"/>
    <w:rsid w:val="002673D0"/>
    <w:rsid w:val="002716BD"/>
    <w:rsid w:val="00273D49"/>
    <w:rsid w:val="00283319"/>
    <w:rsid w:val="00285317"/>
    <w:rsid w:val="0028539D"/>
    <w:rsid w:val="00286629"/>
    <w:rsid w:val="00286702"/>
    <w:rsid w:val="00286D47"/>
    <w:rsid w:val="002900B4"/>
    <w:rsid w:val="00291982"/>
    <w:rsid w:val="00294622"/>
    <w:rsid w:val="002A1D40"/>
    <w:rsid w:val="002A520E"/>
    <w:rsid w:val="002A71E9"/>
    <w:rsid w:val="002A740D"/>
    <w:rsid w:val="002B3130"/>
    <w:rsid w:val="002B46D0"/>
    <w:rsid w:val="002B4938"/>
    <w:rsid w:val="002B4C42"/>
    <w:rsid w:val="002B5C95"/>
    <w:rsid w:val="002B7826"/>
    <w:rsid w:val="002B7DA5"/>
    <w:rsid w:val="002C14BC"/>
    <w:rsid w:val="002C40C2"/>
    <w:rsid w:val="002C50BE"/>
    <w:rsid w:val="002C58CE"/>
    <w:rsid w:val="002C6932"/>
    <w:rsid w:val="002D37C3"/>
    <w:rsid w:val="002D39F6"/>
    <w:rsid w:val="002E02D4"/>
    <w:rsid w:val="002E3E46"/>
    <w:rsid w:val="002E6262"/>
    <w:rsid w:val="002F2F89"/>
    <w:rsid w:val="002F3573"/>
    <w:rsid w:val="002F79DA"/>
    <w:rsid w:val="003023BE"/>
    <w:rsid w:val="003047D9"/>
    <w:rsid w:val="00304E50"/>
    <w:rsid w:val="0031251A"/>
    <w:rsid w:val="00313B31"/>
    <w:rsid w:val="00313C95"/>
    <w:rsid w:val="00314B04"/>
    <w:rsid w:val="003205DD"/>
    <w:rsid w:val="003212A4"/>
    <w:rsid w:val="00321645"/>
    <w:rsid w:val="003224A9"/>
    <w:rsid w:val="00323407"/>
    <w:rsid w:val="00324653"/>
    <w:rsid w:val="00325446"/>
    <w:rsid w:val="003255FE"/>
    <w:rsid w:val="00327EE2"/>
    <w:rsid w:val="00330CB3"/>
    <w:rsid w:val="00332C74"/>
    <w:rsid w:val="00335FCC"/>
    <w:rsid w:val="00336C7D"/>
    <w:rsid w:val="00342E62"/>
    <w:rsid w:val="00343C7E"/>
    <w:rsid w:val="0034643F"/>
    <w:rsid w:val="00346D0D"/>
    <w:rsid w:val="00350DCA"/>
    <w:rsid w:val="00350EF3"/>
    <w:rsid w:val="00351E9C"/>
    <w:rsid w:val="00353E46"/>
    <w:rsid w:val="00354DA3"/>
    <w:rsid w:val="0035535B"/>
    <w:rsid w:val="003557CD"/>
    <w:rsid w:val="00355802"/>
    <w:rsid w:val="00362F2E"/>
    <w:rsid w:val="00365C54"/>
    <w:rsid w:val="003700B6"/>
    <w:rsid w:val="00370935"/>
    <w:rsid w:val="00371DB2"/>
    <w:rsid w:val="003729B0"/>
    <w:rsid w:val="00373041"/>
    <w:rsid w:val="003753A8"/>
    <w:rsid w:val="003831C1"/>
    <w:rsid w:val="00393CB1"/>
    <w:rsid w:val="003A5262"/>
    <w:rsid w:val="003B2F39"/>
    <w:rsid w:val="003B3410"/>
    <w:rsid w:val="003B36E9"/>
    <w:rsid w:val="003B6092"/>
    <w:rsid w:val="003C042E"/>
    <w:rsid w:val="003C06AC"/>
    <w:rsid w:val="003C1186"/>
    <w:rsid w:val="003C391B"/>
    <w:rsid w:val="003C4D46"/>
    <w:rsid w:val="003D01B1"/>
    <w:rsid w:val="003D0B70"/>
    <w:rsid w:val="003D72AD"/>
    <w:rsid w:val="003D7F91"/>
    <w:rsid w:val="003E2A48"/>
    <w:rsid w:val="003E2F63"/>
    <w:rsid w:val="003E65CC"/>
    <w:rsid w:val="003E6D22"/>
    <w:rsid w:val="003F2293"/>
    <w:rsid w:val="00400243"/>
    <w:rsid w:val="00405CA6"/>
    <w:rsid w:val="00410C77"/>
    <w:rsid w:val="00411D37"/>
    <w:rsid w:val="00424485"/>
    <w:rsid w:val="004257E1"/>
    <w:rsid w:val="00425AA3"/>
    <w:rsid w:val="004305C8"/>
    <w:rsid w:val="0043312C"/>
    <w:rsid w:val="00436533"/>
    <w:rsid w:val="00436EC1"/>
    <w:rsid w:val="004403E7"/>
    <w:rsid w:val="004423E2"/>
    <w:rsid w:val="00445706"/>
    <w:rsid w:val="0045004A"/>
    <w:rsid w:val="004545F2"/>
    <w:rsid w:val="00454BDA"/>
    <w:rsid w:val="00457C9A"/>
    <w:rsid w:val="004611B1"/>
    <w:rsid w:val="0046258B"/>
    <w:rsid w:val="00466701"/>
    <w:rsid w:val="00471F88"/>
    <w:rsid w:val="00473304"/>
    <w:rsid w:val="00475B06"/>
    <w:rsid w:val="00476840"/>
    <w:rsid w:val="0048152F"/>
    <w:rsid w:val="0048585A"/>
    <w:rsid w:val="0048750F"/>
    <w:rsid w:val="0049066C"/>
    <w:rsid w:val="004912EF"/>
    <w:rsid w:val="004974D1"/>
    <w:rsid w:val="004A1580"/>
    <w:rsid w:val="004A19DD"/>
    <w:rsid w:val="004B0052"/>
    <w:rsid w:val="004B44B5"/>
    <w:rsid w:val="004C13D9"/>
    <w:rsid w:val="004C156B"/>
    <w:rsid w:val="004C1CE2"/>
    <w:rsid w:val="004C51FC"/>
    <w:rsid w:val="004C5BAD"/>
    <w:rsid w:val="004D5319"/>
    <w:rsid w:val="004D797B"/>
    <w:rsid w:val="004E0982"/>
    <w:rsid w:val="004E1DF7"/>
    <w:rsid w:val="004E2D60"/>
    <w:rsid w:val="004E2E62"/>
    <w:rsid w:val="004E3248"/>
    <w:rsid w:val="004E5392"/>
    <w:rsid w:val="004E73A7"/>
    <w:rsid w:val="004F030E"/>
    <w:rsid w:val="004F2DA8"/>
    <w:rsid w:val="004F4FE5"/>
    <w:rsid w:val="004F6112"/>
    <w:rsid w:val="004F6658"/>
    <w:rsid w:val="004F6BFF"/>
    <w:rsid w:val="004F71AE"/>
    <w:rsid w:val="00501E97"/>
    <w:rsid w:val="005038C9"/>
    <w:rsid w:val="00506E8C"/>
    <w:rsid w:val="00506FCF"/>
    <w:rsid w:val="0051294C"/>
    <w:rsid w:val="00512A8D"/>
    <w:rsid w:val="00521013"/>
    <w:rsid w:val="00526943"/>
    <w:rsid w:val="005314A7"/>
    <w:rsid w:val="00532870"/>
    <w:rsid w:val="005428EE"/>
    <w:rsid w:val="00543724"/>
    <w:rsid w:val="0054645B"/>
    <w:rsid w:val="00552B33"/>
    <w:rsid w:val="00553660"/>
    <w:rsid w:val="00553EB2"/>
    <w:rsid w:val="00556E4F"/>
    <w:rsid w:val="00560776"/>
    <w:rsid w:val="00560AFC"/>
    <w:rsid w:val="00560EAF"/>
    <w:rsid w:val="005619A3"/>
    <w:rsid w:val="00562503"/>
    <w:rsid w:val="0056664B"/>
    <w:rsid w:val="00567693"/>
    <w:rsid w:val="00570911"/>
    <w:rsid w:val="005723D7"/>
    <w:rsid w:val="005755EB"/>
    <w:rsid w:val="005757F7"/>
    <w:rsid w:val="0058037E"/>
    <w:rsid w:val="00581411"/>
    <w:rsid w:val="005817F6"/>
    <w:rsid w:val="00593238"/>
    <w:rsid w:val="00597885"/>
    <w:rsid w:val="005A0674"/>
    <w:rsid w:val="005A3838"/>
    <w:rsid w:val="005A3AA9"/>
    <w:rsid w:val="005A3AE6"/>
    <w:rsid w:val="005A3EAE"/>
    <w:rsid w:val="005A4A49"/>
    <w:rsid w:val="005A71F3"/>
    <w:rsid w:val="005A7726"/>
    <w:rsid w:val="005A77D3"/>
    <w:rsid w:val="005B0AE0"/>
    <w:rsid w:val="005B2146"/>
    <w:rsid w:val="005B2738"/>
    <w:rsid w:val="005B2C2E"/>
    <w:rsid w:val="005B3560"/>
    <w:rsid w:val="005B48B6"/>
    <w:rsid w:val="005B4B41"/>
    <w:rsid w:val="005B529F"/>
    <w:rsid w:val="005B612C"/>
    <w:rsid w:val="005B6B32"/>
    <w:rsid w:val="005B77DD"/>
    <w:rsid w:val="005C09F8"/>
    <w:rsid w:val="005C1A18"/>
    <w:rsid w:val="005C1BD8"/>
    <w:rsid w:val="005C2E63"/>
    <w:rsid w:val="005C5E8E"/>
    <w:rsid w:val="005C65E4"/>
    <w:rsid w:val="005D11F6"/>
    <w:rsid w:val="005D1D0B"/>
    <w:rsid w:val="005D72E3"/>
    <w:rsid w:val="005E0E7F"/>
    <w:rsid w:val="005E5A79"/>
    <w:rsid w:val="005F1482"/>
    <w:rsid w:val="005F1E3B"/>
    <w:rsid w:val="0060449D"/>
    <w:rsid w:val="00610F23"/>
    <w:rsid w:val="00613019"/>
    <w:rsid w:val="00621622"/>
    <w:rsid w:val="006226C5"/>
    <w:rsid w:val="00622FB6"/>
    <w:rsid w:val="0062351F"/>
    <w:rsid w:val="00625CE4"/>
    <w:rsid w:val="00631623"/>
    <w:rsid w:val="006316FF"/>
    <w:rsid w:val="00633F34"/>
    <w:rsid w:val="006346F2"/>
    <w:rsid w:val="00642FA5"/>
    <w:rsid w:val="00643E54"/>
    <w:rsid w:val="006520DA"/>
    <w:rsid w:val="00652414"/>
    <w:rsid w:val="0066087C"/>
    <w:rsid w:val="00665D96"/>
    <w:rsid w:val="00672C67"/>
    <w:rsid w:val="006733B9"/>
    <w:rsid w:val="006777F4"/>
    <w:rsid w:val="00680C37"/>
    <w:rsid w:val="0068235A"/>
    <w:rsid w:val="00691F14"/>
    <w:rsid w:val="00693D54"/>
    <w:rsid w:val="00695B4B"/>
    <w:rsid w:val="006A242C"/>
    <w:rsid w:val="006A3E01"/>
    <w:rsid w:val="006A4842"/>
    <w:rsid w:val="006A5F11"/>
    <w:rsid w:val="006B46FE"/>
    <w:rsid w:val="006B5B10"/>
    <w:rsid w:val="006C0BED"/>
    <w:rsid w:val="006C1512"/>
    <w:rsid w:val="006C5E14"/>
    <w:rsid w:val="006E199D"/>
    <w:rsid w:val="006E2154"/>
    <w:rsid w:val="006E526F"/>
    <w:rsid w:val="006F2F60"/>
    <w:rsid w:val="006F4261"/>
    <w:rsid w:val="006F5BB5"/>
    <w:rsid w:val="006F63F7"/>
    <w:rsid w:val="006F7720"/>
    <w:rsid w:val="00700D51"/>
    <w:rsid w:val="00701E4E"/>
    <w:rsid w:val="00703AAD"/>
    <w:rsid w:val="00704126"/>
    <w:rsid w:val="00704DC6"/>
    <w:rsid w:val="00706525"/>
    <w:rsid w:val="00707621"/>
    <w:rsid w:val="007171E1"/>
    <w:rsid w:val="00717422"/>
    <w:rsid w:val="00722137"/>
    <w:rsid w:val="00723710"/>
    <w:rsid w:val="00733427"/>
    <w:rsid w:val="00735573"/>
    <w:rsid w:val="00737F68"/>
    <w:rsid w:val="007424E1"/>
    <w:rsid w:val="00742D87"/>
    <w:rsid w:val="00751DC9"/>
    <w:rsid w:val="0075565C"/>
    <w:rsid w:val="007605DC"/>
    <w:rsid w:val="00761F62"/>
    <w:rsid w:val="00762C18"/>
    <w:rsid w:val="00766FB7"/>
    <w:rsid w:val="00772348"/>
    <w:rsid w:val="00772510"/>
    <w:rsid w:val="00773A1D"/>
    <w:rsid w:val="00773F42"/>
    <w:rsid w:val="00774264"/>
    <w:rsid w:val="00775445"/>
    <w:rsid w:val="00780EE2"/>
    <w:rsid w:val="007840FE"/>
    <w:rsid w:val="00784F8B"/>
    <w:rsid w:val="007871EE"/>
    <w:rsid w:val="00793E08"/>
    <w:rsid w:val="00794A76"/>
    <w:rsid w:val="00795D56"/>
    <w:rsid w:val="007962F0"/>
    <w:rsid w:val="00797D92"/>
    <w:rsid w:val="007A0919"/>
    <w:rsid w:val="007A097F"/>
    <w:rsid w:val="007A4200"/>
    <w:rsid w:val="007B3DD4"/>
    <w:rsid w:val="007B5103"/>
    <w:rsid w:val="007B61B8"/>
    <w:rsid w:val="007B6A00"/>
    <w:rsid w:val="007C0D3D"/>
    <w:rsid w:val="007C31AE"/>
    <w:rsid w:val="007C36CD"/>
    <w:rsid w:val="007C3C87"/>
    <w:rsid w:val="007C3D16"/>
    <w:rsid w:val="007C47E4"/>
    <w:rsid w:val="007C4FF4"/>
    <w:rsid w:val="007D2436"/>
    <w:rsid w:val="007D2B3D"/>
    <w:rsid w:val="007D444F"/>
    <w:rsid w:val="007D4E58"/>
    <w:rsid w:val="007D56C8"/>
    <w:rsid w:val="007D7F00"/>
    <w:rsid w:val="007E1CCC"/>
    <w:rsid w:val="007E459A"/>
    <w:rsid w:val="007E4929"/>
    <w:rsid w:val="007E720E"/>
    <w:rsid w:val="007E72F0"/>
    <w:rsid w:val="007F009F"/>
    <w:rsid w:val="007F0BF3"/>
    <w:rsid w:val="007F0D47"/>
    <w:rsid w:val="007F2B03"/>
    <w:rsid w:val="007F33BC"/>
    <w:rsid w:val="007F6C9D"/>
    <w:rsid w:val="00800BE6"/>
    <w:rsid w:val="0080256D"/>
    <w:rsid w:val="00802E22"/>
    <w:rsid w:val="00812702"/>
    <w:rsid w:val="0081659F"/>
    <w:rsid w:val="008165F1"/>
    <w:rsid w:val="008235B6"/>
    <w:rsid w:val="008329A5"/>
    <w:rsid w:val="00832C53"/>
    <w:rsid w:val="008353A0"/>
    <w:rsid w:val="00846B19"/>
    <w:rsid w:val="008509A5"/>
    <w:rsid w:val="008521F8"/>
    <w:rsid w:val="00852E79"/>
    <w:rsid w:val="008550E4"/>
    <w:rsid w:val="00855CA7"/>
    <w:rsid w:val="00855F3C"/>
    <w:rsid w:val="00857998"/>
    <w:rsid w:val="00862373"/>
    <w:rsid w:val="008702C7"/>
    <w:rsid w:val="008814B7"/>
    <w:rsid w:val="00882EDF"/>
    <w:rsid w:val="008855D8"/>
    <w:rsid w:val="00885B43"/>
    <w:rsid w:val="00885EDD"/>
    <w:rsid w:val="00891909"/>
    <w:rsid w:val="0089196E"/>
    <w:rsid w:val="00894546"/>
    <w:rsid w:val="008956AE"/>
    <w:rsid w:val="008962B9"/>
    <w:rsid w:val="008B27AB"/>
    <w:rsid w:val="008B474A"/>
    <w:rsid w:val="008B4752"/>
    <w:rsid w:val="008C0F7F"/>
    <w:rsid w:val="008C19A0"/>
    <w:rsid w:val="008C5F52"/>
    <w:rsid w:val="008D1294"/>
    <w:rsid w:val="008D4748"/>
    <w:rsid w:val="008D493B"/>
    <w:rsid w:val="008E15CC"/>
    <w:rsid w:val="008E5F67"/>
    <w:rsid w:val="008E7EF2"/>
    <w:rsid w:val="008F0D75"/>
    <w:rsid w:val="00912649"/>
    <w:rsid w:val="009141CE"/>
    <w:rsid w:val="00914978"/>
    <w:rsid w:val="0092032F"/>
    <w:rsid w:val="00921CBB"/>
    <w:rsid w:val="009220F6"/>
    <w:rsid w:val="00923540"/>
    <w:rsid w:val="009238C5"/>
    <w:rsid w:val="00926CE3"/>
    <w:rsid w:val="00927493"/>
    <w:rsid w:val="00930153"/>
    <w:rsid w:val="00936842"/>
    <w:rsid w:val="00944770"/>
    <w:rsid w:val="00950C79"/>
    <w:rsid w:val="00952E84"/>
    <w:rsid w:val="00952F21"/>
    <w:rsid w:val="00954DE5"/>
    <w:rsid w:val="00956D46"/>
    <w:rsid w:val="00957FE6"/>
    <w:rsid w:val="00961F56"/>
    <w:rsid w:val="00973D9E"/>
    <w:rsid w:val="00973DF8"/>
    <w:rsid w:val="00975B93"/>
    <w:rsid w:val="009803F9"/>
    <w:rsid w:val="00981623"/>
    <w:rsid w:val="0098375F"/>
    <w:rsid w:val="0098511D"/>
    <w:rsid w:val="00985485"/>
    <w:rsid w:val="00986075"/>
    <w:rsid w:val="00991298"/>
    <w:rsid w:val="00991A54"/>
    <w:rsid w:val="009932BD"/>
    <w:rsid w:val="009934FA"/>
    <w:rsid w:val="00994166"/>
    <w:rsid w:val="009A14E2"/>
    <w:rsid w:val="009B00C3"/>
    <w:rsid w:val="009B0CBC"/>
    <w:rsid w:val="009C0139"/>
    <w:rsid w:val="009C0E57"/>
    <w:rsid w:val="009C2F7D"/>
    <w:rsid w:val="009C55FF"/>
    <w:rsid w:val="009D6A3C"/>
    <w:rsid w:val="009D6EB2"/>
    <w:rsid w:val="009E3332"/>
    <w:rsid w:val="009E41C3"/>
    <w:rsid w:val="009E761C"/>
    <w:rsid w:val="009F0156"/>
    <w:rsid w:val="009F0F45"/>
    <w:rsid w:val="009F1E08"/>
    <w:rsid w:val="009F33A3"/>
    <w:rsid w:val="009F5379"/>
    <w:rsid w:val="009F698B"/>
    <w:rsid w:val="00A0033D"/>
    <w:rsid w:val="00A03EC8"/>
    <w:rsid w:val="00A0604C"/>
    <w:rsid w:val="00A11B0D"/>
    <w:rsid w:val="00A120BD"/>
    <w:rsid w:val="00A176AA"/>
    <w:rsid w:val="00A205D5"/>
    <w:rsid w:val="00A239B4"/>
    <w:rsid w:val="00A23D5F"/>
    <w:rsid w:val="00A25AFF"/>
    <w:rsid w:val="00A32DC9"/>
    <w:rsid w:val="00A33349"/>
    <w:rsid w:val="00A33FE6"/>
    <w:rsid w:val="00A44D43"/>
    <w:rsid w:val="00A452D2"/>
    <w:rsid w:val="00A470EC"/>
    <w:rsid w:val="00A50C4A"/>
    <w:rsid w:val="00A50F78"/>
    <w:rsid w:val="00A51224"/>
    <w:rsid w:val="00A5755C"/>
    <w:rsid w:val="00A63E56"/>
    <w:rsid w:val="00A66FD8"/>
    <w:rsid w:val="00A670EA"/>
    <w:rsid w:val="00A7100E"/>
    <w:rsid w:val="00A71A98"/>
    <w:rsid w:val="00A7291A"/>
    <w:rsid w:val="00A7417E"/>
    <w:rsid w:val="00A819B1"/>
    <w:rsid w:val="00A9009D"/>
    <w:rsid w:val="00A9242A"/>
    <w:rsid w:val="00A92BC1"/>
    <w:rsid w:val="00AA28F0"/>
    <w:rsid w:val="00AA2C54"/>
    <w:rsid w:val="00AA3EF4"/>
    <w:rsid w:val="00AA65DC"/>
    <w:rsid w:val="00AA7CBC"/>
    <w:rsid w:val="00AB36D0"/>
    <w:rsid w:val="00AB4CA0"/>
    <w:rsid w:val="00AB59CA"/>
    <w:rsid w:val="00AB60CB"/>
    <w:rsid w:val="00AC0C78"/>
    <w:rsid w:val="00AC175C"/>
    <w:rsid w:val="00AC4BC5"/>
    <w:rsid w:val="00AC6896"/>
    <w:rsid w:val="00AD4ACE"/>
    <w:rsid w:val="00AD4BAD"/>
    <w:rsid w:val="00AD5676"/>
    <w:rsid w:val="00AD5886"/>
    <w:rsid w:val="00AD6E3F"/>
    <w:rsid w:val="00AE08D5"/>
    <w:rsid w:val="00AE3466"/>
    <w:rsid w:val="00AF1471"/>
    <w:rsid w:val="00AF36BF"/>
    <w:rsid w:val="00AF53EC"/>
    <w:rsid w:val="00AF647B"/>
    <w:rsid w:val="00B010E5"/>
    <w:rsid w:val="00B048AA"/>
    <w:rsid w:val="00B13870"/>
    <w:rsid w:val="00B1500D"/>
    <w:rsid w:val="00B1629F"/>
    <w:rsid w:val="00B1672F"/>
    <w:rsid w:val="00B30486"/>
    <w:rsid w:val="00B3494F"/>
    <w:rsid w:val="00B427DC"/>
    <w:rsid w:val="00B44119"/>
    <w:rsid w:val="00B4671F"/>
    <w:rsid w:val="00B50F62"/>
    <w:rsid w:val="00B55AA4"/>
    <w:rsid w:val="00B60779"/>
    <w:rsid w:val="00B61496"/>
    <w:rsid w:val="00B63E05"/>
    <w:rsid w:val="00B66717"/>
    <w:rsid w:val="00B67AA7"/>
    <w:rsid w:val="00B72669"/>
    <w:rsid w:val="00B76DF4"/>
    <w:rsid w:val="00B76EEF"/>
    <w:rsid w:val="00B776C1"/>
    <w:rsid w:val="00B867D1"/>
    <w:rsid w:val="00B92977"/>
    <w:rsid w:val="00B92987"/>
    <w:rsid w:val="00B9437F"/>
    <w:rsid w:val="00B96073"/>
    <w:rsid w:val="00B962B5"/>
    <w:rsid w:val="00B968F0"/>
    <w:rsid w:val="00B96DB3"/>
    <w:rsid w:val="00BA2D4B"/>
    <w:rsid w:val="00BA3FBD"/>
    <w:rsid w:val="00BA7F8D"/>
    <w:rsid w:val="00BB48CE"/>
    <w:rsid w:val="00BB4CED"/>
    <w:rsid w:val="00BB57BA"/>
    <w:rsid w:val="00BB67B3"/>
    <w:rsid w:val="00BC3CDC"/>
    <w:rsid w:val="00BC4382"/>
    <w:rsid w:val="00BC5D5E"/>
    <w:rsid w:val="00BC6D9B"/>
    <w:rsid w:val="00BC7D69"/>
    <w:rsid w:val="00BC7FC3"/>
    <w:rsid w:val="00BD5B4F"/>
    <w:rsid w:val="00BD7B20"/>
    <w:rsid w:val="00BE0E9A"/>
    <w:rsid w:val="00BE4D46"/>
    <w:rsid w:val="00BE4D54"/>
    <w:rsid w:val="00BE72CC"/>
    <w:rsid w:val="00BF0580"/>
    <w:rsid w:val="00BF185A"/>
    <w:rsid w:val="00BF2DD0"/>
    <w:rsid w:val="00C01970"/>
    <w:rsid w:val="00C032A0"/>
    <w:rsid w:val="00C05C98"/>
    <w:rsid w:val="00C06939"/>
    <w:rsid w:val="00C0782F"/>
    <w:rsid w:val="00C20DBD"/>
    <w:rsid w:val="00C246E2"/>
    <w:rsid w:val="00C24BCF"/>
    <w:rsid w:val="00C27505"/>
    <w:rsid w:val="00C30F82"/>
    <w:rsid w:val="00C35EEA"/>
    <w:rsid w:val="00C40F18"/>
    <w:rsid w:val="00C41F0D"/>
    <w:rsid w:val="00C42F38"/>
    <w:rsid w:val="00C5033A"/>
    <w:rsid w:val="00C50B8F"/>
    <w:rsid w:val="00C525DF"/>
    <w:rsid w:val="00C52DB2"/>
    <w:rsid w:val="00C546DD"/>
    <w:rsid w:val="00C54918"/>
    <w:rsid w:val="00C553C3"/>
    <w:rsid w:val="00C64A12"/>
    <w:rsid w:val="00C650DE"/>
    <w:rsid w:val="00C66303"/>
    <w:rsid w:val="00C66BB9"/>
    <w:rsid w:val="00C7017C"/>
    <w:rsid w:val="00C73986"/>
    <w:rsid w:val="00C7746B"/>
    <w:rsid w:val="00C77C77"/>
    <w:rsid w:val="00C8105F"/>
    <w:rsid w:val="00C81379"/>
    <w:rsid w:val="00C816B2"/>
    <w:rsid w:val="00C81970"/>
    <w:rsid w:val="00C87101"/>
    <w:rsid w:val="00C94D24"/>
    <w:rsid w:val="00C967CD"/>
    <w:rsid w:val="00CA0B2C"/>
    <w:rsid w:val="00CA1024"/>
    <w:rsid w:val="00CA290E"/>
    <w:rsid w:val="00CA3A89"/>
    <w:rsid w:val="00CA4EA9"/>
    <w:rsid w:val="00CB2ED2"/>
    <w:rsid w:val="00CB5DCB"/>
    <w:rsid w:val="00CC0015"/>
    <w:rsid w:val="00CC263F"/>
    <w:rsid w:val="00CD2C52"/>
    <w:rsid w:val="00CD602C"/>
    <w:rsid w:val="00CD62C1"/>
    <w:rsid w:val="00CD7481"/>
    <w:rsid w:val="00CE2A66"/>
    <w:rsid w:val="00CE375B"/>
    <w:rsid w:val="00CE7232"/>
    <w:rsid w:val="00CE79D7"/>
    <w:rsid w:val="00CF1C01"/>
    <w:rsid w:val="00CF390A"/>
    <w:rsid w:val="00D023CF"/>
    <w:rsid w:val="00D043F3"/>
    <w:rsid w:val="00D11F90"/>
    <w:rsid w:val="00D126D3"/>
    <w:rsid w:val="00D12DF6"/>
    <w:rsid w:val="00D21546"/>
    <w:rsid w:val="00D22A0E"/>
    <w:rsid w:val="00D241C5"/>
    <w:rsid w:val="00D24F9A"/>
    <w:rsid w:val="00D25230"/>
    <w:rsid w:val="00D345C2"/>
    <w:rsid w:val="00D35886"/>
    <w:rsid w:val="00D37A72"/>
    <w:rsid w:val="00D41BFE"/>
    <w:rsid w:val="00D42B90"/>
    <w:rsid w:val="00D520F5"/>
    <w:rsid w:val="00D5213E"/>
    <w:rsid w:val="00D52723"/>
    <w:rsid w:val="00D530E5"/>
    <w:rsid w:val="00D54714"/>
    <w:rsid w:val="00D604F2"/>
    <w:rsid w:val="00D658CF"/>
    <w:rsid w:val="00D74542"/>
    <w:rsid w:val="00D74D35"/>
    <w:rsid w:val="00D77B41"/>
    <w:rsid w:val="00D80278"/>
    <w:rsid w:val="00D81180"/>
    <w:rsid w:val="00D9349A"/>
    <w:rsid w:val="00DA0D5E"/>
    <w:rsid w:val="00DA16AA"/>
    <w:rsid w:val="00DA30BF"/>
    <w:rsid w:val="00DA3FE8"/>
    <w:rsid w:val="00DA50C9"/>
    <w:rsid w:val="00DB1CEE"/>
    <w:rsid w:val="00DB3E9E"/>
    <w:rsid w:val="00DB591E"/>
    <w:rsid w:val="00DC30C9"/>
    <w:rsid w:val="00DD0D6E"/>
    <w:rsid w:val="00DD18CE"/>
    <w:rsid w:val="00DD1A16"/>
    <w:rsid w:val="00DD42EC"/>
    <w:rsid w:val="00DE0681"/>
    <w:rsid w:val="00DE5FDB"/>
    <w:rsid w:val="00DF0128"/>
    <w:rsid w:val="00DF2564"/>
    <w:rsid w:val="00DF2DC2"/>
    <w:rsid w:val="00DF5F9F"/>
    <w:rsid w:val="00E012CA"/>
    <w:rsid w:val="00E04A97"/>
    <w:rsid w:val="00E05A01"/>
    <w:rsid w:val="00E20678"/>
    <w:rsid w:val="00E23D9D"/>
    <w:rsid w:val="00E30145"/>
    <w:rsid w:val="00E32CDA"/>
    <w:rsid w:val="00E42B8D"/>
    <w:rsid w:val="00E42DFA"/>
    <w:rsid w:val="00E45770"/>
    <w:rsid w:val="00E520D2"/>
    <w:rsid w:val="00E52F69"/>
    <w:rsid w:val="00E55C18"/>
    <w:rsid w:val="00E6288B"/>
    <w:rsid w:val="00E638E7"/>
    <w:rsid w:val="00E65313"/>
    <w:rsid w:val="00E702FB"/>
    <w:rsid w:val="00E71137"/>
    <w:rsid w:val="00E72EC0"/>
    <w:rsid w:val="00E750D4"/>
    <w:rsid w:val="00E767B8"/>
    <w:rsid w:val="00E808C9"/>
    <w:rsid w:val="00E8326A"/>
    <w:rsid w:val="00E91974"/>
    <w:rsid w:val="00E9307D"/>
    <w:rsid w:val="00E96C5B"/>
    <w:rsid w:val="00EA10FE"/>
    <w:rsid w:val="00EA17F8"/>
    <w:rsid w:val="00EA5CFD"/>
    <w:rsid w:val="00EB0631"/>
    <w:rsid w:val="00EB09CB"/>
    <w:rsid w:val="00EB3C5A"/>
    <w:rsid w:val="00EB3D74"/>
    <w:rsid w:val="00EC0B6B"/>
    <w:rsid w:val="00EC1538"/>
    <w:rsid w:val="00EC3057"/>
    <w:rsid w:val="00ED0F91"/>
    <w:rsid w:val="00ED2DB3"/>
    <w:rsid w:val="00ED3D82"/>
    <w:rsid w:val="00ED4051"/>
    <w:rsid w:val="00ED4F45"/>
    <w:rsid w:val="00ED746E"/>
    <w:rsid w:val="00EE1598"/>
    <w:rsid w:val="00EE262B"/>
    <w:rsid w:val="00EE31D1"/>
    <w:rsid w:val="00EE664B"/>
    <w:rsid w:val="00EE68D1"/>
    <w:rsid w:val="00EE714E"/>
    <w:rsid w:val="00EF32F9"/>
    <w:rsid w:val="00EF57A8"/>
    <w:rsid w:val="00EF5B65"/>
    <w:rsid w:val="00EF6352"/>
    <w:rsid w:val="00EF79CB"/>
    <w:rsid w:val="00EF7E0B"/>
    <w:rsid w:val="00F007E2"/>
    <w:rsid w:val="00F00D24"/>
    <w:rsid w:val="00F02180"/>
    <w:rsid w:val="00F026BD"/>
    <w:rsid w:val="00F06630"/>
    <w:rsid w:val="00F156D9"/>
    <w:rsid w:val="00F1602D"/>
    <w:rsid w:val="00F22B29"/>
    <w:rsid w:val="00F235BF"/>
    <w:rsid w:val="00F2564B"/>
    <w:rsid w:val="00F2628D"/>
    <w:rsid w:val="00F27DBF"/>
    <w:rsid w:val="00F300F5"/>
    <w:rsid w:val="00F311F9"/>
    <w:rsid w:val="00F355E6"/>
    <w:rsid w:val="00F35FE4"/>
    <w:rsid w:val="00F401E7"/>
    <w:rsid w:val="00F407B4"/>
    <w:rsid w:val="00F43CA4"/>
    <w:rsid w:val="00F607FD"/>
    <w:rsid w:val="00F63729"/>
    <w:rsid w:val="00F65C5A"/>
    <w:rsid w:val="00F709BD"/>
    <w:rsid w:val="00F70A8D"/>
    <w:rsid w:val="00F70DD5"/>
    <w:rsid w:val="00F70E49"/>
    <w:rsid w:val="00F71AA1"/>
    <w:rsid w:val="00F71F1F"/>
    <w:rsid w:val="00F752F3"/>
    <w:rsid w:val="00F80559"/>
    <w:rsid w:val="00F81F29"/>
    <w:rsid w:val="00F82F1C"/>
    <w:rsid w:val="00F83396"/>
    <w:rsid w:val="00F83FF1"/>
    <w:rsid w:val="00F849FD"/>
    <w:rsid w:val="00F90219"/>
    <w:rsid w:val="00F91559"/>
    <w:rsid w:val="00F94A92"/>
    <w:rsid w:val="00F96038"/>
    <w:rsid w:val="00F97984"/>
    <w:rsid w:val="00FA06B5"/>
    <w:rsid w:val="00FA2A9E"/>
    <w:rsid w:val="00FA2BBA"/>
    <w:rsid w:val="00FA3B5D"/>
    <w:rsid w:val="00FB0967"/>
    <w:rsid w:val="00FB2B52"/>
    <w:rsid w:val="00FB3455"/>
    <w:rsid w:val="00FB5138"/>
    <w:rsid w:val="00FC00A0"/>
    <w:rsid w:val="00FC031C"/>
    <w:rsid w:val="00FD112F"/>
    <w:rsid w:val="00FD1419"/>
    <w:rsid w:val="00FD6A76"/>
    <w:rsid w:val="00FE0388"/>
    <w:rsid w:val="00FE1D1B"/>
    <w:rsid w:val="00FE20DB"/>
    <w:rsid w:val="00FF07F9"/>
    <w:rsid w:val="00FF4C67"/>
    <w:rsid w:val="022A731E"/>
    <w:rsid w:val="02A64119"/>
    <w:rsid w:val="043D6C25"/>
    <w:rsid w:val="048667D3"/>
    <w:rsid w:val="049E006D"/>
    <w:rsid w:val="054C634F"/>
    <w:rsid w:val="07BD0E51"/>
    <w:rsid w:val="08DB7764"/>
    <w:rsid w:val="0C9A6ED5"/>
    <w:rsid w:val="100603AC"/>
    <w:rsid w:val="10F1631B"/>
    <w:rsid w:val="12A93FD5"/>
    <w:rsid w:val="130C2FEE"/>
    <w:rsid w:val="13CE1647"/>
    <w:rsid w:val="17B84A32"/>
    <w:rsid w:val="19B01875"/>
    <w:rsid w:val="1A1C1CFA"/>
    <w:rsid w:val="1AD4001C"/>
    <w:rsid w:val="1C3E1334"/>
    <w:rsid w:val="1CFD4AD4"/>
    <w:rsid w:val="1D070020"/>
    <w:rsid w:val="1EB274DF"/>
    <w:rsid w:val="20106F8E"/>
    <w:rsid w:val="22B36787"/>
    <w:rsid w:val="231125AC"/>
    <w:rsid w:val="24077BFF"/>
    <w:rsid w:val="26A5092E"/>
    <w:rsid w:val="28260401"/>
    <w:rsid w:val="2B110340"/>
    <w:rsid w:val="2CF51D47"/>
    <w:rsid w:val="2F640DE8"/>
    <w:rsid w:val="31190CC6"/>
    <w:rsid w:val="33FD7752"/>
    <w:rsid w:val="37922635"/>
    <w:rsid w:val="379540A7"/>
    <w:rsid w:val="3989156E"/>
    <w:rsid w:val="3A15477F"/>
    <w:rsid w:val="3A242466"/>
    <w:rsid w:val="3C47334E"/>
    <w:rsid w:val="3CB26D1E"/>
    <w:rsid w:val="3EF07F7A"/>
    <w:rsid w:val="43ED3C40"/>
    <w:rsid w:val="495323ED"/>
    <w:rsid w:val="4AF3601A"/>
    <w:rsid w:val="4BA315C9"/>
    <w:rsid w:val="4CC6446A"/>
    <w:rsid w:val="4E7B4170"/>
    <w:rsid w:val="544D740E"/>
    <w:rsid w:val="55AE0FCF"/>
    <w:rsid w:val="58FE18D5"/>
    <w:rsid w:val="594914BB"/>
    <w:rsid w:val="5CA82CD1"/>
    <w:rsid w:val="5FCE09A6"/>
    <w:rsid w:val="60ED5F11"/>
    <w:rsid w:val="64122457"/>
    <w:rsid w:val="646426D5"/>
    <w:rsid w:val="64BC4F31"/>
    <w:rsid w:val="64C3416F"/>
    <w:rsid w:val="6624577F"/>
    <w:rsid w:val="67161F83"/>
    <w:rsid w:val="68817BAC"/>
    <w:rsid w:val="68DB6F84"/>
    <w:rsid w:val="6A1706CF"/>
    <w:rsid w:val="6A563FBC"/>
    <w:rsid w:val="6A7E3167"/>
    <w:rsid w:val="6D873407"/>
    <w:rsid w:val="6DA24319"/>
    <w:rsid w:val="6EA81B75"/>
    <w:rsid w:val="6FE35A27"/>
    <w:rsid w:val="72167982"/>
    <w:rsid w:val="739B783A"/>
    <w:rsid w:val="75536D10"/>
    <w:rsid w:val="75B30C82"/>
    <w:rsid w:val="76B57CE1"/>
    <w:rsid w:val="770E7892"/>
    <w:rsid w:val="77980A6E"/>
    <w:rsid w:val="77F71564"/>
    <w:rsid w:val="792A54A4"/>
    <w:rsid w:val="79F1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已访问的超链接1"/>
    <w:qFormat/>
    <w:uiPriority w:val="0"/>
    <w:rPr>
      <w:color w:val="800080"/>
      <w:u w:val="single"/>
    </w:rPr>
  </w:style>
  <w:style w:type="character" w:customStyle="1" w:styleId="11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Char"/>
    <w:link w:val="3"/>
    <w:qFormat/>
    <w:uiPriority w:val="0"/>
    <w:rPr>
      <w:kern w:val="2"/>
      <w:sz w:val="18"/>
      <w:szCs w:val="18"/>
    </w:rPr>
  </w:style>
  <w:style w:type="paragraph" w:customStyle="1" w:styleId="13">
    <w:name w:val="目录 21"/>
    <w:basedOn w:val="1"/>
    <w:next w:val="1"/>
    <w:qFormat/>
    <w:uiPriority w:val="39"/>
    <w:pPr>
      <w:tabs>
        <w:tab w:val="right" w:leader="dot" w:pos="8494"/>
      </w:tabs>
      <w:spacing w:line="560" w:lineRule="exact"/>
      <w:ind w:left="210"/>
      <w:jc w:val="left"/>
    </w:pPr>
    <w:rPr>
      <w:rFonts w:ascii="仿宋_GB2312" w:hAnsi="Calibri" w:eastAsia="仿宋_GB2312" w:cs="Calibri"/>
      <w:smallCaps/>
      <w:sz w:val="28"/>
      <w:szCs w:val="28"/>
    </w:rPr>
  </w:style>
  <w:style w:type="paragraph" w:customStyle="1" w:styleId="14">
    <w:name w:val="目录 11"/>
    <w:basedOn w:val="1"/>
    <w:next w:val="1"/>
    <w:qFormat/>
    <w:uiPriority w:val="39"/>
    <w:pPr>
      <w:tabs>
        <w:tab w:val="left" w:pos="840"/>
        <w:tab w:val="right" w:leader="dot" w:pos="8296"/>
      </w:tabs>
      <w:spacing w:line="560" w:lineRule="exact"/>
      <w:jc w:val="left"/>
    </w:pPr>
    <w:rPr>
      <w:rFonts w:ascii="仿宋_GB2312" w:hAnsi="新宋体" w:eastAsia="仿宋_GB2312" w:cs="Calibri"/>
      <w:b/>
      <w:bCs/>
      <w:caps/>
      <w:sz w:val="28"/>
      <w:szCs w:val="28"/>
    </w:rPr>
  </w:style>
  <w:style w:type="paragraph" w:customStyle="1" w:styleId="15">
    <w:name w:val="Char Char Char Char Char Char Char"/>
    <w:basedOn w:val="1"/>
    <w:qFormat/>
    <w:uiPriority w:val="0"/>
    <w:rPr>
      <w:szCs w:val="21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10" Target="numbering.xml" Type="http://schemas.openxmlformats.org/officeDocument/2006/relationships/numbering"/>
<Relationship Id="rId11" Target="fontTable.xml" Type="http://schemas.openxmlformats.org/officeDocument/2006/relationships/fontTable"/>
<Relationship Id="rId2" Target="settings.xml" Type="http://schemas.openxmlformats.org/officeDocument/2006/relationships/settings"/>
<Relationship Id="rId3" Target="header1.xml" Type="http://schemas.openxmlformats.org/officeDocument/2006/relationships/header"/>
<Relationship Id="rId4" Target="header2.xml" Type="http://schemas.openxmlformats.org/officeDocument/2006/relationships/header"/>
<Relationship Id="rId5" Target="footer1.xml" Type="http://schemas.openxmlformats.org/officeDocument/2006/relationships/footer"/>
<Relationship Id="rId6" Target="footer2.xml" Type="http://schemas.openxmlformats.org/officeDocument/2006/relationships/footer"/>
<Relationship Id="rId7" Target="header3.xml" Type="http://schemas.openxmlformats.org/officeDocument/2006/relationships/header"/>
<Relationship Id="rId8" Target="footer3.xml" Type="http://schemas.openxmlformats.org/officeDocument/2006/relationships/footer"/>
<Relationship Id="rId9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czj</Company>
  <Pages>3</Pages>
  <Words>270</Words>
  <Characters>780</Characters>
  <Lines>6</Lines>
  <Paragraphs>1</Paragraphs>
  <TotalTime>5</TotalTime>
  <ScaleCrop>false</ScaleCrop>
  <LinksUpToDate>false</LinksUpToDate>
  <CharactersWithSpaces>780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2020-12-31T06:58:00Z</dcterms:created>
  <dc:creator>傅海英</dc:creator>
  <cp:lastModifiedBy>木木三</cp:lastModifiedBy>
  <cp:lastPrinted>2019-06-21T02:10:00Z</cp:lastPrinted>
  <dcterms:modified xsi:type="dcterms:W3CDTF">2026-02-27T08:35:46Z</dcterms:modified>
  <cp:revision>7</cp:revision>
  <dc:title>关于进行本市部门整体支出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739EEDB2ECE141DEAF0C3D87D58590AD_13</vt:lpwstr>
  </property>
  <property fmtid="{D5CDD505-2E9C-101B-9397-08002B2CF9AE}" pid="4" name="KSOTemplateDocerSaveRecord">
    <vt:lpwstr>eyJoZGlkIjoiMmVmMTQ4NTZkNTIwMmU5ZDBhYTZhYjI1NWVjNGI1Y2IiLCJ1c2VySWQiOiIyMjg1MzQ1OTUifQ==</vt:lpwstr>
  </property>
</Properties>
</file>