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bookmarkStart w:id="0" w:name="_GoBack"/>
      <w:bookmarkEnd w:id="0"/>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苏州市公园路幼儿园</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12F7DFF">
      <w:pPr>
        <w:spacing w:line="360" w:lineRule="auto"/>
        <w:ind w:firstLine="480" w:firstLineChars="200"/>
        <w:rPr>
          <w:rFonts w:ascii="宋体" w:hAnsi="宋体" w:cs="宋体"/>
          <w:sz w:val="24"/>
        </w:rPr>
      </w:pPr>
      <w:r>
        <w:rPr>
          <w:rFonts w:hint="eastAsia" w:ascii="宋体" w:hAnsi="宋体" w:cs="宋体"/>
          <w:sz w:val="24"/>
        </w:rPr>
        <w:t>苏州市公园路幼儿园在市机关事务管理局的正确领导与悉心指导下，紧紧围绕国家对学前教育特别是托幼一体化发展的新要求，始终坚持“蒙以养正”的办园理念，并以建园七十周年为契机，聚焦党建引领、保教提质等核心工作，推动学前教育高质量发展，各项工作取得阶段性成效，现将单位履职情况汇报如下：1、坚持党建引领，完善机制建设坚持把党的全面领导贯穿工作全过程，压实“一把手”第一责任，建立健全内控机制，规范“三重一大”议事流程。进一步完善考勤考核制度，调整考核方案，细化责任分工，建立科学的绩效管理体系和激励机制，有效激发教职工的工作积极性和创造力。充分发挥党支部政治核心作用，强化工青妇等群团组织与园务会民主管理，实行园务公开，形成全员参与、民主决策的良好氛围。持续深化理论武装，严格落实“三会一课”、主题党日等制度，创新党建载体，开展“换位跑一次”活动，党员骨干深入一线调研服务，切实发挥先锋模范作用。拓展联建共建，与轨道交通、高校、社区等单位建立共建机制，形成资源共享、优势互补的党建新格局。2、强化师德引领，营造育人环境始终将师德师风建设摆在突出位置，定期开展师德教育活动、道德讲堂，结合党纪教育，将党的教育实践成果夯实到实际工作岗位。结合七十周年园庆，开展“寻找时光机”“芳华绽放”等团队活动，增强教职工归属感与凝聚力。围绕传统节日开展主题教育，将文化自信的种子根植于幼儿心田。深化“乐动户外混龄”活动研究，优化设计投放，促进幼儿运动能力、社会交往能力发展。成立“托幼衔接”项目小组，探索科学衔接路径，帮助新生平稳过渡。挖掘“周边一公里”社区资源，将剪纸、木版年画等本土文化融入课程，拓展幼儿学习视野。3、推动托幼一体化，提升育人质量以七十周年为新起点，持续深化托幼一体化建设。完成北西楼装修改造、食堂防水、安防系统升级等基础设施优化，确保人均面积达标，启动后勤数字化平台建设，实现照护过程可追溯、服务流程标准化。系统开展“亲子半日托”“家长工作坊”，建设社区“育儿驿站”，打造“15分钟科学育儿服务圈”。开发“非遗传承”“自然探究”主题课程包，举办家长工作坊普及科学育儿理念，延伸设计0-3岁婴幼儿游戏化课程，实现家、园、社协同共育新生态。4、优化育人环境，强化安全保障持续优化育人环境，完成北西楼装修改造、食堂防水、雨棚安装、排水改造、外墙裂缝填补、紫外线灯更换、电动车棚火灾监测系统安装等多项工程。严格执行食品采购验收留样溯源制度，合理搭配膳食，顺利通过市场监管、消防、教育主管局多轮安全卫生专项检查。常态化开展防震、防火、防暴、防拐骗、交通安全等应急演练，邀请交警消防员进校园，组织幼儿参观消防队、民防馆、警务站，全面提升师生安全防范意识和自救自护能力。5、构建共育桥梁，强化宣传引领致力于构建开放互信协同的家园共育共同体。充分利用“一起长大”APP实现家园实时互动与成长记录共享，定期召开家长会、家委会、膳委会，2025年家长满意度达99.8%。创新家园互动形式，首次以听证会形式由家委会投票确定亲子秋游方案，增强家长参与感与透明度。常态化组织家长参与验菜、陪餐、护学岗服务，开展“我为幼儿园来助力”家长助教活动，丰富课程内容。强化政治引领，构建新媒体宣传矩阵，充分发挥宣传阵地作用，构建完善的新媒体宣传矩阵，不断提高园所知名度和美誉度。多次组织青年理论学习小组和信息报道小组学习交流，不断提升宣传技能，多篇活动报道被中国机关后勤视频号、国家级新闻网站、亚洲新闻图片网、引力播、名城苏州网等媒体平台录用转载，2025年统筹发布微信公众号221篇，向局机关供稿109篇，37篇活动报道被国家、省、市级媒体平台录用转载，有效提升园所品牌影响力与社会美誉度。</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7D338969">
      <w:pPr>
        <w:spacing w:line="360" w:lineRule="auto"/>
        <w:ind w:firstLine="480" w:firstLineChars="200"/>
        <w:rPr>
          <w:rFonts w:ascii="宋体" w:hAnsi="宋体" w:cs="宋体"/>
          <w:sz w:val="24"/>
        </w:rPr>
      </w:pPr>
      <w:r>
        <w:rPr>
          <w:rFonts w:hint="eastAsia" w:ascii="宋体" w:hAnsi="宋体" w:cs="宋体"/>
          <w:sz w:val="24"/>
        </w:rPr>
        <w:t>苏州市公园路幼儿园为苏州市机关事务管理局下属事业单位，分类定性为公益二类。主要职能：1、为学龄前儿童提供保育和教育服务2、提供与幼儿教育相关的社会服务3、宣传科学保育和幼儿教育知识，配合创设良好的家庭教育环境4、开展幼儿教师队伍培训。根据单位职责分工，本单位内设机构包括：园长室、办公室、政教室、科教室、后勤部、财务室、保健室、大班年级组、中班年级组、小班年级组、托班年级组。截止2025年年末，事业在编人员55人，离退休人员49人。</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1、党建引领走深走实，特色彰显聚合力（1）.理论武装常态化推进，严格落实“三会一课”、主题党日等党建制度，全年规范开展各类党建相关会议48次，顺利完成1名预备党员接收工作，持续优化党员队伍结构，筑牢思想根基；（2）.党建载体创新提质，打造“童心向党”等红色教育系列活动，组织师幼开展沉浸式红色研学，深化“换位跑一次”实践活动，推动党建工作与保教业务深度融合、同频共振；（3）.联建共建拓宽格局，与苏州轨道交通黄天荡区域党支部、苏州城市学院等多单位开展联学联建，积极践行社会责任，组织社区帮扶、志愿服务、慈善捐赠等公益活动，累计捐款7190元，慰问离休干部并授予抗战胜利纪念章，常态化开展“温情进社区”活动，有效提升了园所的社会影响力。2、保教融合提质增效，内涵发展赋新能（1）.课程建设特色鲜明，深耕传统文化教育，围绕元宵、清明、端午、中秋等传统节日举办教育活动30余场，将文化自信根植幼儿心田。持续推进“乐动户外混龄”活动第四阶段研究，优化活动设计与材料投放，有效促进幼儿运动能力、社会交往能力发展。成立“托幼衔接”项目小组，深化幼小衔接合作，成功举办升班仪式、毕业典礼、参观小学等成长教育活动。挖掘“周边一公里”社区资源，将剪纸、桃花坞木版年画等本土文化融入日常教学，拓展幼儿学习视野。（2）.师资队伍建设赋能升级，扎实实施“青蓝工程”，常态化开展园本教研、外出观摩学习、专家指导及各级各类培训。围绕集体教学有效性、游戏观察分析、区域环境创设等主题开展深度教研20余场，组织教师赴姐妹园观摩学习，实施“青蓝工程”师徒结对，开展“一课三研”、技能比赛等岗位练兵活动。组织教师全员参加国家智慧教育平台研修，积极参与省市级培训、学术会议及竞赛活动。本年度，教师在省级托育职业技能竞赛中获二等奖，在市级以上各类竞赛中获奖20余人次，专业素养持续提升。支持幼儿参与各类竞赛活动，幼儿在市级童话剧表演、绘画、讲故事等比赛中荣获多个奖项，如童话剧《小蝌蚪找妈妈·奇遇记》获市二等奖，国防主题绘画获多个等次奖，充分展现了保教质量提升的实效。（3）.后勤保障坚实有力，一是卫生保健规范精细。顺利通过“江苏省卫生保健合格单位”验收及苏州市妇保所托幼机构卫生保健合格单位复审。定期开展健康教育活动，如“920爱牙日”、秋冬传染病防控讲座等，完成幼儿六一健康体检及视力筛查。组织退休及编外教职工健康体检。二是安全管理常抓不懈。完成北西楼装修改造、食堂防水修补、雨棚安装、排水改造、外墙裂缝填补、紫外线灯更换、电动车棚火灾监测系统安装、防鼠防蚁等多项基础设施优化改造。严格执行食品采购、验收、留样及溯源制度，合理搭配膳食。迎接并顺利通过市场监管、消防、教育主管局等多轮安全、卫生专项检查。三是安全教育常态有效。结合“安全月”、“节能宣传周”等，组织开展全园防震、防火、防暴、防拐骗、交通安全等应急演练，邀请交警、消防员进校园，组织幼儿参观消防队、民防馆、警务站，全面提升师生安全防范意识和自救自护能力。定期开展后勤人员岗位练兵与知识培训，提升保育、食堂等岗位的专业技能。3、家园共育创新升级，协同育人凝共（1）.沟通渠道畅通高效，依托“一起长大”APP电子平台，实现家园实时互动、幼儿成长动态共享，家园沟通便捷化、透明化，本学年家长满意度达99.8%；（2）.互动形式创新务实，首次采用听证会形式，由家委会投票确定亲子秋游方案，充分保障家长参与权与知情权，常态化组织家长参与验菜、陪餐、护学岗等活动，推动家长深度参与园所管理；（3）.共育内涵不断深化，有序开展“我为幼儿园来助力”家长助教活动，充分挖掘家长资源丰富课程内容，扎实推进暑托班、新生适应班工作，助力幼儿平稳过渡，构建家园协同育人良好格局。4、内部治理精细规范，办学效能再提升（1）.制度体系不断完善，修订完善教职工岗位晋升、内控制度、舆情处置等多项核心管理制度，规范完成中层干部竞聘、职称评审、编外人员录用等各项工作，实现管理工作规范化、精细化；（2）.团队凝聚力持续增强，党、工、团联动开展迎新、三八节、文体竞赛、退休教职工慰问等各类活动，营造和谐向上、团结奋进的工作氛围；（3）.宣传引领成效显著，全年统筹发布微信公众号221篇，向局机关供稿109篇，多篇活动报道被国家、省、市级媒体平台录用转载，有效提升园所品牌影响力与社会美誉度。5、争先创优成果丰硕，办学口碑获认可全园教职工奋勇争先，成果丰硕：教师在“江苏省机关事务管理系统托育职业技能竞赛”中荣获二等奖，在市级各类教学竞赛、论文评选中累计获奖20余人次；幼儿在市级童话剧、绘画、讲故事等竞赛中斩获多项奖项，展现良好综合素质；园所顺利通过各级各类督导评估与专项检查，办学质量与社会声誉得到充分认可，实现保教质量与品牌影响力双提升、双跨越。</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1、存在的问题（1）.预算编制精细化程度不足：对下一年度的在园幼儿人数波动、零星维修等预估不准，导致预算执行过程中多次调整。（2）.宣传培训和交流调研覆盖面不足：在自主绩效管理推进过程中，宣传培训覆盖面不足、交流调研不够深入，导致部分教师和管理人员对绩效管理的目标、流程、标准及要求理解不够全面，思想认识不够到位。（3）.过程性管理有待进一步加强:对重点工作、关键环节的过程管控不够精细，存在部署多、跟踪少、反馈不及时的问题。2、改进措施与建议（1）.强化预算源头管理，提升编制精准度：打破往年基数，根据下一年度实际招生计划及设施设备实际需求，重新核定各项支出。（2）.强化宣传引导与专题培训拓宽交流调研渠道，切实提升教职工对绩效管理工作的知晓度、认同度和执行力。（3）.强化过程性管理，加强预算事前、事中、事后管控，做到事前有评估、事中有监控、事后有评价。夯实内部控制基础</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 xml:space="preserve">1.通过绩效自评价管理，更科学、合理地制定了预算相关指标。2.通过绩效自评价管理，清晰掌握了各个时间节点以及预算执行情况。3.绩效结果与预算安排、政策调整、改进管理挂钩，有效推动了项目支出提质增效。4.绩效结果依法依规公开，接受社会监督。 </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r>
              <w:rPr>
                <w:rFonts w:ascii="宋体" w:hAnsi="宋体" w:cs="宋体" w:eastAsia="宋体"/>
                <w:b w:val="true"/>
                <w:color w:val=""/>
                <w:sz w:val="24"/>
                <w:u w:val="none"/>
              </w:rPr>
              <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pPr>
              <w:widowControl/>
              <w:jc w:val="center"/>
              <w:rPr>
                <w:rFonts w:ascii="宋体" w:hAnsi="宋体" w:cs="宋体"/>
                <w:kern w:val="0"/>
                <w:sz w:val="24"/>
              </w:rPr>
            </w:pPr>
            <w:r>
              <w:rPr>
                <w:rFonts w:hint="eastAsia" w:ascii="宋体" w:hAnsi="宋体" w:cs="宋体"/>
                <w:sz w:val="24"/>
              </w:rPr>
              <w:t>2396.76</w:t>
            </w:r>
          </w:p>
        </w:tc>
        <w:tc>
          <w:tcPr>
            <w:tcW w:w="2268" w:type="dxa"/>
            <w:vAlign w:val="center"/>
          </w:tcPr>
          <w:p>
            <w:pPr>
              <w:widowControl/>
              <w:jc w:val="center"/>
              <w:rPr>
                <w:rFonts w:ascii="宋体" w:hAnsi="宋体" w:cs="宋体"/>
                <w:sz w:val="24"/>
              </w:rPr>
            </w:pPr>
            <w:r>
              <w:rPr>
                <w:rFonts w:hint="eastAsia" w:ascii="宋体" w:hAnsi="宋体" w:cs="宋体"/>
                <w:sz w:val="24"/>
              </w:rPr>
              <w:t>332.31</w:t>
            </w:r>
          </w:p>
        </w:tc>
        <w:tc>
          <w:tcPr>
            <w:tcW w:w="2268" w:type="dxa"/>
            <w:vAlign w:val="center"/>
          </w:tcPr>
          <w:p>
            <w:pPr>
              <w:widowControl/>
              <w:jc w:val="center"/>
              <w:rPr>
                <w:rFonts w:ascii="宋体" w:hAnsi="宋体" w:cs="宋体"/>
                <w:sz w:val="24"/>
              </w:rPr>
            </w:pPr>
            <w:r>
              <w:rPr>
                <w:rFonts w:hint="eastAsia" w:ascii="宋体" w:hAnsi="宋体" w:cs="宋体"/>
                <w:sz w:val="24"/>
              </w:rPr>
              <w:t>2729.07</w:t>
            </w:r>
          </w:p>
        </w:tc>
        <w:tc>
          <w:tcPr>
            <w:tcW w:w="2268" w:type="dxa"/>
            <w:vAlign w:val="center"/>
          </w:tcPr>
          <w:p>
            <w:pPr>
              <w:widowControl/>
              <w:jc w:val="center"/>
              <w:rPr>
                <w:rFonts w:ascii="宋体" w:hAnsi="宋体" w:cs="宋体"/>
                <w:sz w:val="24"/>
              </w:rPr>
            </w:pPr>
            <w:r>
              <w:rPr>
                <w:rFonts w:hint="eastAsia" w:ascii="宋体" w:hAnsi="宋体" w:cs="宋体"/>
                <w:sz w:val="24"/>
              </w:rPr>
              <w:t>2666.48</w:t>
            </w:r>
          </w:p>
        </w:tc>
        <w:tc>
          <w:tcPr>
            <w:tcW w:w="2268" w:type="dxa"/>
            <w:vAlign w:val="center"/>
          </w:tcPr>
          <w:p>
            <w:pPr>
              <w:widowControl/>
              <w:jc w:val="center"/>
              <w:rPr>
                <w:rFonts w:ascii="宋体" w:hAnsi="宋体" w:cs="宋体"/>
                <w:sz w:val="24"/>
              </w:rPr>
            </w:pPr>
            <w:r>
              <w:rPr>
                <w:rFonts w:hint="eastAsia" w:ascii="宋体" w:hAnsi="宋体" w:cs="宋体"/>
                <w:sz w:val="24"/>
              </w:rPr>
              <w:t>97.71%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pPr>
              <w:widowControl/>
              <w:jc w:val="center"/>
              <w:rPr>
                <w:rFonts w:ascii="宋体" w:hAnsi="宋体" w:cs="宋体"/>
                <w:kern w:val="0"/>
                <w:sz w:val="24"/>
              </w:rPr>
            </w:pPr>
            <w:r>
              <w:rPr>
                <w:rFonts w:hint="eastAsia" w:ascii="宋体" w:hAnsi="宋体" w:cs="宋体"/>
                <w:sz w:val="24"/>
              </w:rPr>
              <w:t>2167.21</w:t>
            </w:r>
          </w:p>
        </w:tc>
        <w:tc>
          <w:tcPr>
            <w:tcW w:w="2268" w:type="dxa"/>
            <w:vAlign w:val="center"/>
          </w:tcPr>
          <w:p>
            <w:pPr>
              <w:widowControl/>
              <w:jc w:val="center"/>
              <w:rPr>
                <w:rFonts w:ascii="宋体" w:hAnsi="宋体" w:cs="宋体"/>
                <w:sz w:val="24"/>
              </w:rPr>
            </w:pPr>
            <w:r>
              <w:rPr>
                <w:rFonts w:hint="eastAsia" w:ascii="宋体" w:hAnsi="宋体" w:cs="宋体"/>
                <w:sz w:val="24"/>
              </w:rPr>
              <w:t>332.31</w:t>
            </w:r>
          </w:p>
        </w:tc>
        <w:tc>
          <w:tcPr>
            <w:tcW w:w="2268" w:type="dxa"/>
            <w:vAlign w:val="center"/>
          </w:tcPr>
          <w:p>
            <w:pPr>
              <w:widowControl/>
              <w:jc w:val="center"/>
              <w:rPr>
                <w:rFonts w:ascii="宋体" w:hAnsi="宋体" w:cs="宋体"/>
                <w:sz w:val="24"/>
              </w:rPr>
            </w:pPr>
            <w:r>
              <w:rPr>
                <w:rFonts w:hint="eastAsia" w:ascii="宋体" w:hAnsi="宋体" w:cs="宋体"/>
                <w:sz w:val="24"/>
              </w:rPr>
              <w:t>2499.52</w:t>
            </w:r>
          </w:p>
        </w:tc>
        <w:tc>
          <w:tcPr>
            <w:tcW w:w="2268" w:type="dxa"/>
            <w:vAlign w:val="center"/>
          </w:tcPr>
          <w:p>
            <w:pPr>
              <w:widowControl/>
              <w:jc w:val="center"/>
              <w:rPr>
                <w:rFonts w:ascii="宋体" w:hAnsi="宋体" w:cs="宋体"/>
                <w:sz w:val="24"/>
              </w:rPr>
            </w:pPr>
            <w:r>
              <w:rPr>
                <w:rFonts w:hint="eastAsia" w:ascii="宋体" w:hAnsi="宋体" w:cs="宋体"/>
                <w:sz w:val="24"/>
              </w:rPr>
              <w:t>2447.58</w:t>
            </w:r>
          </w:p>
        </w:tc>
        <w:tc>
          <w:tcPr>
            <w:tcW w:w="2268" w:type="dxa"/>
            <w:vAlign w:val="center"/>
          </w:tcPr>
          <w:p>
            <w:pPr>
              <w:widowControl/>
              <w:jc w:val="center"/>
              <w:rPr>
                <w:rFonts w:ascii="宋体" w:hAnsi="宋体" w:cs="宋体"/>
                <w:sz w:val="24"/>
              </w:rPr>
            </w:pPr>
            <w:r>
              <w:rPr>
                <w:rFonts w:hint="eastAsia" w:ascii="宋体" w:hAnsi="宋体" w:cs="宋体"/>
                <w:sz w:val="24"/>
              </w:rPr>
              <w:t>97.92%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pPr>
              <w:widowControl/>
              <w:jc w:val="center"/>
              <w:rPr>
                <w:rFonts w:ascii="宋体" w:hAnsi="宋体" w:cs="宋体"/>
                <w:kern w:val="0"/>
                <w:sz w:val="24"/>
              </w:rPr>
            </w:pPr>
            <w:r>
              <w:rPr>
                <w:rFonts w:hint="eastAsia" w:ascii="宋体" w:hAnsi="宋体" w:cs="宋体"/>
                <w:sz w:val="24"/>
              </w:rPr>
              <w:t>229.55</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229.55</w:t>
            </w:r>
          </w:p>
        </w:tc>
        <w:tc>
          <w:tcPr>
            <w:tcW w:w="2268" w:type="dxa"/>
            <w:vAlign w:val="center"/>
          </w:tcPr>
          <w:p>
            <w:pPr>
              <w:widowControl/>
              <w:jc w:val="center"/>
              <w:rPr>
                <w:rFonts w:ascii="宋体" w:hAnsi="宋体" w:cs="宋体"/>
                <w:sz w:val="24"/>
              </w:rPr>
            </w:pPr>
            <w:r>
              <w:rPr>
                <w:rFonts w:hint="eastAsia" w:ascii="宋体" w:hAnsi="宋体" w:cs="宋体"/>
                <w:sz w:val="24"/>
              </w:rPr>
              <w:t>218.9</w:t>
            </w:r>
          </w:p>
        </w:tc>
        <w:tc>
          <w:tcPr>
            <w:tcW w:w="2268" w:type="dxa"/>
            <w:vAlign w:val="center"/>
          </w:tcPr>
          <w:p>
            <w:pPr>
              <w:widowControl/>
              <w:jc w:val="center"/>
              <w:rPr>
                <w:rFonts w:ascii="宋体" w:hAnsi="宋体" w:cs="宋体"/>
                <w:sz w:val="24"/>
              </w:rPr>
            </w:pPr>
            <w:r>
              <w:rPr>
                <w:rFonts w:hint="eastAsia" w:ascii="宋体" w:hAnsi="宋体" w:cs="宋体"/>
                <w:sz w:val="24"/>
              </w:rPr>
              <w:t>95.36%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保教设备购置经费</w:t>
            </w:r>
          </w:p>
        </w:tc>
        <w:tc>
          <w:tcPr>
            <w:tcW w:w="2268" w:type="dxa"/>
            <w:vAlign w:val="center"/>
          </w:tcPr>
          <w:p>
            <w:pPr>
              <w:widowControl/>
              <w:jc w:val="center"/>
              <w:rPr>
                <w:rFonts w:ascii="宋体" w:hAnsi="宋体" w:cs="宋体"/>
                <w:kern w:val="0"/>
                <w:sz w:val="24"/>
              </w:rPr>
            </w:pPr>
            <w:r>
              <w:rPr>
                <w:rFonts w:hint="eastAsia" w:ascii="宋体" w:hAnsi="宋体" w:cs="宋体"/>
                <w:sz w:val="24"/>
              </w:rPr>
              <w:t>6</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6</w:t>
            </w:r>
          </w:p>
        </w:tc>
        <w:tc>
          <w:tcPr>
            <w:tcW w:w="2268" w:type="dxa"/>
            <w:vAlign w:val="center"/>
          </w:tcPr>
          <w:p>
            <w:pPr>
              <w:widowControl/>
              <w:jc w:val="center"/>
              <w:rPr>
                <w:rFonts w:ascii="宋体" w:hAnsi="宋体" w:cs="宋体"/>
                <w:sz w:val="24"/>
              </w:rPr>
            </w:pPr>
            <w:r>
              <w:rPr>
                <w:rFonts w:hint="eastAsia" w:ascii="宋体" w:hAnsi="宋体" w:cs="宋体"/>
                <w:sz w:val="24"/>
              </w:rPr>
              <w:t>3.7</w:t>
            </w:r>
          </w:p>
        </w:tc>
        <w:tc>
          <w:tcPr>
            <w:tcW w:w="2268" w:type="dxa"/>
            <w:vAlign w:val="center"/>
          </w:tcPr>
          <w:p>
            <w:pPr>
              <w:widowControl/>
              <w:jc w:val="center"/>
              <w:rPr>
                <w:rFonts w:ascii="宋体" w:hAnsi="宋体" w:cs="宋体"/>
                <w:sz w:val="24"/>
              </w:rPr>
            </w:pPr>
            <w:r>
              <w:rPr>
                <w:rFonts w:hint="eastAsia" w:ascii="宋体" w:hAnsi="宋体" w:cs="宋体"/>
                <w:sz w:val="24"/>
              </w:rPr>
              <w:t>61.67%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大型修缮费用</w:t>
            </w:r>
          </w:p>
        </w:tc>
        <w:tc>
          <w:tcPr>
            <w:tcW w:w="2268" w:type="dxa"/>
            <w:vAlign w:val="center"/>
          </w:tcPr>
          <w:p>
            <w:pPr>
              <w:widowControl/>
              <w:jc w:val="center"/>
              <w:rPr>
                <w:rFonts w:ascii="宋体" w:hAnsi="宋体" w:cs="宋体"/>
                <w:kern w:val="0"/>
                <w:sz w:val="24"/>
              </w:rPr>
            </w:pPr>
            <w:r>
              <w:rPr>
                <w:rFonts w:hint="eastAsia" w:ascii="宋体" w:hAnsi="宋体" w:cs="宋体"/>
                <w:sz w:val="24"/>
              </w:rPr>
              <w:t>40</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40</w:t>
            </w:r>
          </w:p>
        </w:tc>
        <w:tc>
          <w:tcPr>
            <w:tcW w:w="2268" w:type="dxa"/>
            <w:vAlign w:val="center"/>
          </w:tcPr>
          <w:p>
            <w:pPr>
              <w:widowControl/>
              <w:jc w:val="center"/>
              <w:rPr>
                <w:rFonts w:ascii="宋体" w:hAnsi="宋体" w:cs="宋体"/>
                <w:sz w:val="24"/>
              </w:rPr>
            </w:pPr>
            <w:r>
              <w:rPr>
                <w:rFonts w:hint="eastAsia" w:ascii="宋体" w:hAnsi="宋体" w:cs="宋体"/>
                <w:sz w:val="24"/>
              </w:rPr>
              <w:t>36.22</w:t>
            </w:r>
          </w:p>
        </w:tc>
        <w:tc>
          <w:tcPr>
            <w:tcW w:w="2268" w:type="dxa"/>
            <w:vAlign w:val="center"/>
          </w:tcPr>
          <w:p>
            <w:pPr>
              <w:widowControl/>
              <w:jc w:val="center"/>
              <w:rPr>
                <w:rFonts w:ascii="宋体" w:hAnsi="宋体" w:cs="宋体"/>
                <w:sz w:val="24"/>
              </w:rPr>
            </w:pPr>
            <w:r>
              <w:rPr>
                <w:rFonts w:hint="eastAsia" w:ascii="宋体" w:hAnsi="宋体" w:cs="宋体"/>
                <w:sz w:val="24"/>
              </w:rPr>
              <w:t>90.55%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水电气经费</w:t>
            </w:r>
          </w:p>
        </w:tc>
        <w:tc>
          <w:tcPr>
            <w:tcW w:w="2268" w:type="dxa"/>
            <w:vAlign w:val="center"/>
          </w:tcPr>
          <w:p>
            <w:pPr>
              <w:widowControl/>
              <w:jc w:val="center"/>
              <w:rPr>
                <w:rFonts w:ascii="宋体" w:hAnsi="宋体" w:cs="宋体"/>
                <w:kern w:val="0"/>
                <w:sz w:val="24"/>
              </w:rPr>
            </w:pPr>
            <w:r>
              <w:rPr>
                <w:rFonts w:hint="eastAsia" w:ascii="宋体" w:hAnsi="宋体" w:cs="宋体"/>
                <w:sz w:val="24"/>
              </w:rPr>
              <w:t>13</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13</w:t>
            </w:r>
          </w:p>
        </w:tc>
        <w:tc>
          <w:tcPr>
            <w:tcW w:w="2268" w:type="dxa"/>
            <w:vAlign w:val="center"/>
          </w:tcPr>
          <w:p>
            <w:pPr>
              <w:widowControl/>
              <w:jc w:val="center"/>
              <w:rPr>
                <w:rFonts w:ascii="宋体" w:hAnsi="宋体" w:cs="宋体"/>
                <w:sz w:val="24"/>
              </w:rPr>
            </w:pPr>
            <w:r>
              <w:rPr>
                <w:rFonts w:hint="eastAsia" w:ascii="宋体" w:hAnsi="宋体" w:cs="宋体"/>
                <w:sz w:val="24"/>
              </w:rPr>
              <w:t>12.18</w:t>
            </w:r>
          </w:p>
        </w:tc>
        <w:tc>
          <w:tcPr>
            <w:tcW w:w="2268" w:type="dxa"/>
            <w:vAlign w:val="center"/>
          </w:tcPr>
          <w:p>
            <w:pPr>
              <w:widowControl/>
              <w:jc w:val="center"/>
              <w:rPr>
                <w:rFonts w:ascii="宋体" w:hAnsi="宋体" w:cs="宋体"/>
                <w:sz w:val="24"/>
              </w:rPr>
            </w:pPr>
            <w:r>
              <w:rPr>
                <w:rFonts w:hint="eastAsia" w:ascii="宋体" w:hAnsi="宋体" w:cs="宋体"/>
                <w:sz w:val="24"/>
              </w:rPr>
              <w:t>93.69%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编外用工经费</w:t>
            </w:r>
          </w:p>
        </w:tc>
        <w:tc>
          <w:tcPr>
            <w:tcW w:w="2268" w:type="dxa"/>
            <w:vAlign w:val="center"/>
          </w:tcPr>
          <w:p>
            <w:pPr>
              <w:widowControl/>
              <w:jc w:val="center"/>
              <w:rPr>
                <w:rFonts w:ascii="宋体" w:hAnsi="宋体" w:cs="宋体"/>
                <w:kern w:val="0"/>
                <w:sz w:val="24"/>
              </w:rPr>
            </w:pPr>
            <w:r>
              <w:rPr>
                <w:rFonts w:hint="eastAsia" w:ascii="宋体" w:hAnsi="宋体" w:cs="宋体"/>
                <w:sz w:val="24"/>
              </w:rPr>
              <w:t>135.55</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135.55</w:t>
            </w:r>
          </w:p>
        </w:tc>
        <w:tc>
          <w:tcPr>
            <w:tcW w:w="2268" w:type="dxa"/>
            <w:vAlign w:val="center"/>
          </w:tcPr>
          <w:p>
            <w:pPr>
              <w:widowControl/>
              <w:jc w:val="center"/>
              <w:rPr>
                <w:rFonts w:ascii="宋体" w:hAnsi="宋体" w:cs="宋体"/>
                <w:sz w:val="24"/>
              </w:rPr>
            </w:pPr>
            <w:r>
              <w:rPr>
                <w:rFonts w:hint="eastAsia" w:ascii="宋体" w:hAnsi="宋体" w:cs="宋体"/>
                <w:sz w:val="24"/>
              </w:rPr>
              <w:t>131.81</w:t>
            </w:r>
          </w:p>
        </w:tc>
        <w:tc>
          <w:tcPr>
            <w:tcW w:w="2268" w:type="dxa"/>
            <w:vAlign w:val="center"/>
          </w:tcPr>
          <w:p>
            <w:pPr>
              <w:widowControl/>
              <w:jc w:val="center"/>
              <w:rPr>
                <w:rFonts w:ascii="宋体" w:hAnsi="宋体" w:cs="宋体"/>
                <w:sz w:val="24"/>
              </w:rPr>
            </w:pPr>
            <w:r>
              <w:rPr>
                <w:rFonts w:hint="eastAsia" w:ascii="宋体" w:hAnsi="宋体" w:cs="宋体"/>
                <w:sz w:val="24"/>
              </w:rPr>
              <w:t>97.24%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幼儿专项材料费</w:t>
            </w:r>
          </w:p>
        </w:tc>
        <w:tc>
          <w:tcPr>
            <w:tcW w:w="2268" w:type="dxa"/>
            <w:vAlign w:val="center"/>
          </w:tcPr>
          <w:p>
            <w:pPr>
              <w:widowControl/>
              <w:jc w:val="center"/>
              <w:rPr>
                <w:rFonts w:ascii="宋体" w:hAnsi="宋体" w:cs="宋体"/>
                <w:kern w:val="0"/>
                <w:sz w:val="24"/>
              </w:rPr>
            </w:pPr>
            <w:r>
              <w:rPr>
                <w:rFonts w:hint="eastAsia" w:ascii="宋体" w:hAnsi="宋体" w:cs="宋体"/>
                <w:sz w:val="24"/>
              </w:rPr>
              <w:t>35</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35</w:t>
            </w:r>
          </w:p>
        </w:tc>
        <w:tc>
          <w:tcPr>
            <w:tcW w:w="2268" w:type="dxa"/>
            <w:vAlign w:val="center"/>
          </w:tcPr>
          <w:p>
            <w:pPr>
              <w:widowControl/>
              <w:jc w:val="center"/>
              <w:rPr>
                <w:rFonts w:ascii="宋体" w:hAnsi="宋体" w:cs="宋体"/>
                <w:sz w:val="24"/>
              </w:rPr>
            </w:pPr>
            <w:r>
              <w:rPr>
                <w:rFonts w:hint="eastAsia" w:ascii="宋体" w:hAnsi="宋体" w:cs="宋体"/>
                <w:sz w:val="24"/>
              </w:rPr>
              <w:t>34.99</w:t>
            </w:r>
          </w:p>
        </w:tc>
        <w:tc>
          <w:tcPr>
            <w:tcW w:w="2268" w:type="dxa"/>
            <w:vAlign w:val="center"/>
          </w:tcPr>
          <w:p>
            <w:pPr>
              <w:widowControl/>
              <w:jc w:val="center"/>
              <w:rPr>
                <w:rFonts w:ascii="宋体" w:hAnsi="宋体" w:cs="宋体"/>
                <w:sz w:val="24"/>
              </w:rPr>
            </w:pPr>
            <w:r>
              <w:rPr>
                <w:rFonts w:hint="eastAsia" w:ascii="宋体" w:hAnsi="宋体" w:cs="宋体"/>
                <w:sz w:val="24"/>
              </w:rPr>
              <w:t>99.97%</w:t>
            </w:r>
          </w:p>
        </w:tc>
      </w:tr>
    </w:tbl>
    <w:p w14:paraId="131ACE80">
      <w:pPr>
        <w:spacing w:line="360" w:lineRule="auto"/>
        <w:ind w:left="600"/>
        <w:rPr>
          <w:rFonts w:ascii="黑体" w:hAnsi="黑体" w:eastAsia="黑体"/>
          <w:sz w:val="30"/>
        </w:rPr>
      </w:pPr>
    </w:p>
    <w:p w14:paraId="74045F82">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r>
              <w:rPr>
                <w:rFonts w:hint="eastAsia" w:ascii="宋体" w:hAnsi="宋体" w:cs="宋体"/>
                <w:b/>
                <w:bCs/>
                <w:kern w:val="0"/>
                <w:sz w:val="24"/>
              </w:rPr>
              <w:t/>
            </w: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开展幼儿教师队伍培训</w:t>
            </w:r>
          </w:p>
        </w:tc>
        <w:tc>
          <w:tcPr>
            <w:tcW w:w="3818" w:type="dxa"/>
            <w:vAlign w:val="center"/>
          </w:tcPr>
          <w:p>
            <w:pPr>
              <w:widowControl/>
              <w:jc w:val="center"/>
              <w:rPr>
                <w:rFonts w:ascii="宋体" w:hAnsi="宋体" w:cs="宋体"/>
                <w:sz w:val="24"/>
              </w:rPr>
            </w:pPr>
            <w:r>
              <w:rPr>
                <w:rFonts w:hint="eastAsia" w:ascii="宋体" w:hAnsi="宋体" w:cs="宋体"/>
                <w:sz w:val="24"/>
              </w:rPr>
              <w:t>开展岗位练兵活动	</w:t>
            </w:r>
          </w:p>
        </w:tc>
        <w:tc>
          <w:tcPr>
            <w:tcW w:w="6280" w:type="dxa"/>
            <w:vAlign w:val="center"/>
          </w:tcPr>
          <w:p>
            <w:pPr>
              <w:widowControl/>
              <w:jc w:val="center"/>
              <w:rPr>
                <w:rFonts w:ascii="宋体" w:hAnsi="宋体" w:cs="宋体"/>
                <w:sz w:val="24"/>
              </w:rPr>
            </w:pPr>
            <w:r>
              <w:rPr>
                <w:rFonts w:hint="eastAsia" w:ascii="宋体" w:hAnsi="宋体" w:cs="宋体"/>
                <w:sz w:val="24"/>
              </w:rPr>
              <w:t>精心组织各项岗位练兵活动，实施了师徒结对系列活动，促进了教师之间的共润互长。开展丰富的个性化培训学习与全覆盖式的研修计划。积极响应并高效完成了上级部门布置的全部学习任务，100%通过年度学实验证，为教师的持续学习和专业发展提供了有力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教师继续教育	</w:t>
            </w:r>
          </w:p>
        </w:tc>
        <w:tc>
          <w:tcPr>
            <w:tcW w:w="6280" w:type="dxa"/>
            <w:vAlign w:val="center"/>
          </w:tcPr>
          <w:p>
            <w:pPr>
              <w:widowControl/>
              <w:jc w:val="center"/>
              <w:rPr>
                <w:rFonts w:ascii="宋体" w:hAnsi="宋体" w:cs="宋体"/>
                <w:sz w:val="24"/>
              </w:rPr>
            </w:pPr>
            <w:r>
              <w:rPr>
                <w:rFonts w:hint="eastAsia" w:ascii="宋体" w:hAnsi="宋体" w:cs="宋体"/>
                <w:sz w:val="24"/>
              </w:rPr>
              <w:t>一是夯实园本教研。围绕“集体教学活动有效性”、“游戏观察分析与反思”、“区域环境创设”、“班级自然角”、“低结构材料运用”、“体育游戏组织”等主题，开展深度教研与观摩交流。邀请苏州城市学院等专家指导课题研究，组织教师赴市实小附幼、钟园幼儿园、沧实小、锦溪幼儿园等姐妹园观摩学习。二是健全培养机制。实施“青蓝工程”师徒结对，开展“一课三研”、教育技能比赛、岗位练兵等活动，营造互学共进的良好氛围。三是拓展专业视野。组织教师全员参加国家智慧教育平台暑期、寒假研修，深入学习《中华人民共和国学前教育法》，积极参与省、市级各类培训、学术会议及竞赛活动，并加入中国陶行知研究会单位理事，为教师专业成长注入新动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提供与幼儿教育相关的社会服务</w:t>
            </w:r>
          </w:p>
        </w:tc>
        <w:tc>
          <w:tcPr>
            <w:tcW w:w="3818" w:type="dxa"/>
            <w:vAlign w:val="center"/>
          </w:tcPr>
          <w:p>
            <w:pPr>
              <w:widowControl/>
              <w:jc w:val="center"/>
              <w:rPr>
                <w:rFonts w:ascii="宋体" w:hAnsi="宋体" w:cs="宋体"/>
                <w:sz w:val="24"/>
              </w:rPr>
            </w:pPr>
            <w:r>
              <w:rPr>
                <w:rFonts w:hint="eastAsia" w:ascii="宋体" w:hAnsi="宋体" w:cs="宋体"/>
                <w:sz w:val="24"/>
              </w:rPr>
              <w:t>开展校社联盟活动</w:t>
            </w:r>
          </w:p>
        </w:tc>
        <w:tc>
          <w:tcPr>
            <w:tcW w:w="6280" w:type="dxa"/>
            <w:vAlign w:val="center"/>
          </w:tcPr>
          <w:p>
            <w:pPr>
              <w:widowControl/>
              <w:jc w:val="center"/>
              <w:rPr>
                <w:rFonts w:ascii="宋体" w:hAnsi="宋体" w:cs="宋体"/>
                <w:sz w:val="24"/>
              </w:rPr>
            </w:pPr>
            <w:r>
              <w:rPr>
                <w:rFonts w:hint="eastAsia" w:ascii="宋体" w:hAnsi="宋体" w:cs="宋体"/>
                <w:sz w:val="24"/>
              </w:rPr>
              <w:t>联建共建汇聚合力。与苏州轨道交通黄天荡区域党支部、苏州城市学院、平江实验学校“德润·大成”教联体等单位开展联学联建，实现资源共享、优势互补。常态化开展“温情进社区”活动，走访慰问困难老人及儿童。联合社区开展亲子手工、公益集市、重阳登高等活动，积极参与无偿献血、志愿服务等，有效提升了园所的社会形象和公益影响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为学龄前儿童提供保育和教育服务</w:t>
            </w:r>
          </w:p>
        </w:tc>
        <w:tc>
          <w:tcPr>
            <w:tcW w:w="3818" w:type="dxa"/>
            <w:vAlign w:val="center"/>
          </w:tcPr>
          <w:p>
            <w:pPr>
              <w:widowControl/>
              <w:jc w:val="center"/>
              <w:rPr>
                <w:rFonts w:ascii="宋体" w:hAnsi="宋体" w:cs="宋体"/>
                <w:sz w:val="24"/>
              </w:rPr>
            </w:pPr>
            <w:r>
              <w:rPr>
                <w:rFonts w:hint="eastAsia" w:ascii="宋体" w:hAnsi="宋体" w:cs="宋体"/>
                <w:sz w:val="24"/>
              </w:rPr>
              <w:t>持续开展安全保障安全检查</w:t>
            </w:r>
          </w:p>
        </w:tc>
        <w:tc>
          <w:tcPr>
            <w:tcW w:w="6280" w:type="dxa"/>
            <w:vAlign w:val="center"/>
          </w:tcPr>
          <w:p>
            <w:pPr>
              <w:widowControl/>
              <w:jc w:val="center"/>
              <w:rPr>
                <w:rFonts w:ascii="宋体" w:hAnsi="宋体" w:cs="宋体"/>
                <w:sz w:val="24"/>
              </w:rPr>
            </w:pPr>
            <w:r>
              <w:rPr>
                <w:rFonts w:hint="eastAsia" w:ascii="宋体" w:hAnsi="宋体" w:cs="宋体"/>
                <w:sz w:val="24"/>
              </w:rPr>
              <w:t>一是卫生保健规范精细。顺利通过“江苏省卫生保健合格单位”验收及苏州市妇保所托幼机构卫生保健合格单位复审。定期开展健康教育活动，如“920爱牙日”、秋冬传染病防控讲座等，完成幼儿六一健康体检及视力筛查。组织退休及编外教职工健康体检。二是安全管理常抓不懈。完成北西楼装修改造、食堂防水修补、雨棚安装、排水改造、外墙裂缝填补、紫外线灯更换、电动车棚火灾监测系统安装、防鼠防蚁等多项基础设施优化改造。严格执行食品采购、验收、留样及溯源制度，合理搭配膳食。迎接并顺利通过市场监管、消防、教育主管局等多轮安全、卫生专项检查。三是安全教育常态有效。结合“安全月”、“节能宣传周”等，组织开展全园防震、防火、防暴、防拐骗、交通安全等应急演练，邀请交警、消防员进校园，组织幼儿参观消防队、民防馆、警务站，全面提升师生安全防范意识和自救自护能力。定期开展后勤人员岗位练兵与知识培训，提升保育、食堂等岗位的专业技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开展课题相关实践活动，收集案例、课件、评价表单</w:t>
            </w:r>
          </w:p>
        </w:tc>
        <w:tc>
          <w:tcPr>
            <w:tcW w:w="6280" w:type="dxa"/>
            <w:vAlign w:val="center"/>
          </w:tcPr>
          <w:p>
            <w:pPr>
              <w:widowControl/>
              <w:jc w:val="center"/>
              <w:rPr>
                <w:rFonts w:ascii="宋体" w:hAnsi="宋体" w:cs="宋体"/>
                <w:sz w:val="24"/>
              </w:rPr>
            </w:pPr>
            <w:r>
              <w:rPr>
                <w:rFonts w:hint="eastAsia" w:ascii="宋体" w:hAnsi="宋体" w:cs="宋体"/>
                <w:sz w:val="24"/>
              </w:rPr>
              <w:t>一、深化户外混龄探索。优化活动设计与材料投放，有效促进幼儿运动能力、社会交往能力及探索精神的发展。二、成立“托幼衔接”项目小组，开展专题研讨，优化托育照护策略，帮助新生平稳度过适应期。三、积极申报各级各类课题，其中《以党建引领推动校家社“校联体”的构建研究》成功立项于苏州市教育科学“十四五”规划2025年度党建研究专项课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围绕幼儿日常生活活动、社区资源等开展园本、班本主题活动</w:t>
            </w:r>
          </w:p>
        </w:tc>
        <w:tc>
          <w:tcPr>
            <w:tcW w:w="6280" w:type="dxa"/>
            <w:vAlign w:val="center"/>
          </w:tcPr>
          <w:p>
            <w:pPr>
              <w:widowControl/>
              <w:jc w:val="center"/>
              <w:rPr>
                <w:rFonts w:ascii="宋体" w:hAnsi="宋体" w:cs="宋体"/>
                <w:sz w:val="24"/>
              </w:rPr>
            </w:pPr>
            <w:r>
              <w:rPr>
                <w:rFonts w:hint="eastAsia" w:ascii="宋体" w:hAnsi="宋体" w:cs="宋体"/>
                <w:sz w:val="24"/>
              </w:rPr>
              <w:t>我园坚持“以幼儿发展为本”，深度优化课程实施、深化教育研究，将七十年的经验沉淀转化为促进每一位幼儿全面且富有个性成长的坚实阶梯，实现保教质量在传承中的稳步提升。立足传统文化根基。围绕传统节日，以及雷锋日、三八节、植树节等，系统开展主题鲜明、形式多样的教育活动，将文化自信的种子根植于幼儿心田。深度挖掘“周边一公里”社区资源，将剪纸、桃花坞木版年画等本土及代表性项目融入日常教学，同时走进社区、走进自然，为幼儿创设真实、多样的学习场景，拓展成长视野。与苏州平江实验学校共联共建，深化幼小衔接，成功举办升班仪式、“庆祝六一，筑梦未来”六一儿童节主题庆祝活动、毕业典礼、参观小学等成长教育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宣传科学保育和幼儿教育知识，配合创设良好的家庭教育环境</w:t>
            </w:r>
          </w:p>
        </w:tc>
        <w:tc>
          <w:tcPr>
            <w:tcW w:w="3818" w:type="dxa"/>
            <w:vAlign w:val="center"/>
          </w:tcPr>
          <w:p>
            <w:pPr>
              <w:widowControl/>
              <w:jc w:val="center"/>
              <w:rPr>
                <w:rFonts w:ascii="宋体" w:hAnsi="宋体" w:cs="宋体"/>
                <w:sz w:val="24"/>
              </w:rPr>
            </w:pPr>
            <w:r>
              <w:rPr>
                <w:rFonts w:hint="eastAsia" w:ascii="宋体" w:hAnsi="宋体" w:cs="宋体"/>
                <w:sz w:val="24"/>
              </w:rPr>
              <w:t>定期开展家委会及家长公益讲座</w:t>
            </w:r>
          </w:p>
        </w:tc>
        <w:tc>
          <w:tcPr>
            <w:tcW w:w="6280" w:type="dxa"/>
            <w:vAlign w:val="center"/>
          </w:tcPr>
          <w:p>
            <w:pPr>
              <w:widowControl/>
              <w:jc w:val="center"/>
              <w:rPr>
                <w:rFonts w:ascii="宋体" w:hAnsi="宋体" w:cs="宋体"/>
                <w:sz w:val="24"/>
              </w:rPr>
            </w:pPr>
            <w:r>
              <w:rPr>
                <w:rFonts w:hint="eastAsia" w:ascii="宋体" w:hAnsi="宋体" w:cs="宋体"/>
                <w:sz w:val="24"/>
              </w:rPr>
              <w:t>"园部定期以线下为主，线上补充相结合的方式组织召开幼儿园家长委员会活动，今年共召开4次线下家委会，4次家长公益讲座，通过家长问卷调查、家长陪餐、家委会参与膳委会及食堂人员岗位练兵等活动，及时反馈幼儿园工作情况。成功举办家长开放日、半日开放活动、家长健康讲座、幼小衔接讲座等。首次以听证会形式，由家委会投票确定亲子秋游方案，增强了家长的参与感和透明度。每周常态化组织家长参与验菜、陪餐、护学岗服务。同时开展“我为幼儿园来助力”家长助教活动，积极参与幼儿园大型活动策划和配合，为幼儿园提供了非遗传统文化资源、家长护学等助教服务，推动家长深度参与园所管理。本学年家长满意度达99.8%。    "</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r>
              <w:rPr>
                <w:rFonts w:hint="eastAsia" w:ascii="宋体" w:hAnsi="宋体" w:cs="宋体"/>
                <w:b/>
                <w:bCs/>
                <w:kern w:val="0"/>
                <w:sz w:val="24"/>
              </w:rPr>
              <w:t/>
            </w: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分解目标</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84.62%</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-15.38%</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2.29%</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-77.10%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95.51%</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-4.49%</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88.59%</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-11.41%</w:t>
            </w:r>
          </w:p>
        </w:tc>
        <w:tc>
          <w:tcPr>
            <w:tcW w:w="1071" w:type="dxa"/>
          </w:tcPr>
          <w:p>
            <w:pPr>
              <w:spacing w:line="360" w:lineRule="auto"/>
              <w:rPr>
                <w:rFonts w:ascii="宋体" w:hAnsi="宋体" w:cs="宋体"/>
                <w:kern w:val="0"/>
                <w:sz w:val="22"/>
              </w:rPr>
            </w:pPr>
            <w:r>
              <w:rPr>
                <w:rFonts w:hint="eastAsia" w:ascii="宋体" w:hAnsi="宋体" w:cs="宋体"/>
                <w:sz w:val="24"/>
              </w:rPr>
              <w:t>按相关规定，2025年9月起大班年龄段幼儿免收保育教育费。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97.71%</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-2.29%</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公众号更新次数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&gt;=160次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221次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38.13%</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校园安全事故</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幼儿参与社会公益活动次数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&gt;=2次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p>
            <w:pPr>
              <w:spacing w:line="360" w:lineRule="auto"/>
              <w:jc w:val="center"/>
              <w:rPr>
                <w:rFonts w:ascii="宋体" w:hAnsi="宋体" w:cs="宋体"/>
                <w:kern w:val="0"/>
                <w:sz w:val="24"/>
              </w:rPr>
            </w:pPr>
            <w:r>
              <w:rPr>
                <w:rFonts w:hint="eastAsia" w:ascii="宋体" w:hAnsi="宋体" w:cs="宋体"/>
                <w:sz w:val="24"/>
              </w:rPr>
              <w:t>满意度</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服务满意度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&gt;=95%</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99.8%</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5.05%</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保障检查次数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&gt;=12次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16次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33.33%</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家长活动次数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&gt;=6次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8次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33.33%</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练兵活动次数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&gt;=6次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6次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校社活动次数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&gt;=4次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8次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主题活动次数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实践活动次数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12次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文件资料、统计数据</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20.00%</w:t>
            </w:r>
          </w:p>
        </w:tc>
        <w:tc>
          <w:tcPr>
            <w:tcW w:w="1071" w:type="dxa"/>
          </w:tcPr>
          <w:p>
            <w:pPr>
              <w:spacing w:line="360" w:lineRule="auto"/>
              <w:rPr>
                <w:rFonts w:ascii="宋体" w:hAnsi="宋体" w:cs="宋体"/>
                <w:kern w:val="0"/>
                <w:sz w:val="22"/>
              </w:rPr>
            </w:pPr>
            <w:r>
              <w:rPr>
                <w:rFonts w:hint="eastAsia" w:ascii="宋体" w:hAnsi="宋体" w:cs="宋体"/>
                <w:sz w:val="24"/>
              </w:rPr>
              <w:t/>
            </w: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10" Target="numbering.xml" Type="http://schemas.openxmlformats.org/officeDocument/2006/relationships/numbering"/>
<Relationship Id="rId11" Target="fontTable.xml" Type="http://schemas.openxmlformats.org/officeDocument/2006/relationships/fontTable"/>
<Relationship Id="rId2" Target="settings.xml" Type="http://schemas.openxmlformats.org/officeDocument/2006/relationships/settings"/>
<Relationship Id="rId3" Target="header1.xml" Type="http://schemas.openxmlformats.org/officeDocument/2006/relationships/header"/>
<Relationship Id="rId4" Target="header2.xml" Type="http://schemas.openxmlformats.org/officeDocument/2006/relationships/header"/>
<Relationship Id="rId5" Target="footer1.xml" Type="http://schemas.openxmlformats.org/officeDocument/2006/relationships/footer"/>
<Relationship Id="rId6" Target="footer2.xml" Type="http://schemas.openxmlformats.org/officeDocument/2006/relationships/footer"/>
<Relationship Id="rId7" Target="header3.xml" Type="http://schemas.openxmlformats.org/officeDocument/2006/relationships/header"/>
<Relationship Id="rId8" Target="footer3.xml" Type="http://schemas.openxmlformats.org/officeDocument/2006/relationships/footer"/>
<Relationship Id="rId9"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3</Pages>
  <Words>270</Words>
  <Characters>780</Characters>
  <Lines>6</Lines>
  <Paragraphs>1</Paragraphs>
  <TotalTime>5</TotalTime>
  <ScaleCrop>false</ScaleCrop>
  <LinksUpToDate>false</LinksUpToDate>
  <CharactersWithSpaces>780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2020-12-31T06:58:00Z</dcterms:created>
  <dc:creator>傅海英</dc:creator>
  <cp:lastModifiedBy>木木三</cp:lastModifiedBy>
  <cp:lastPrinted>2019-06-21T02:10:00Z</cp:lastPrinted>
  <dcterms:modified xsi:type="dcterms:W3CDTF">2026-02-27T08:35:46Z</dcterms:modified>
  <cp:revision>7</cp:revision>
  <dc:title>关于进行本市部门整体支出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739EEDB2ECE141DEAF0C3D87D58590AD_13</vt:lpwstr>
  </property>
  <property fmtid="{D5CDD505-2E9C-101B-9397-08002B2CF9AE}" pid="4" name="KSOTemplateDocerSaveRecord">
    <vt:lpwstr>eyJoZGlkIjoiMmVmMTQ4NTZkNTIwMmU5ZDBhYTZhYjI1NWVjNGI1Y2IiLCJ1c2VySWQiOiIyMjg1MzQ1OTUifQ==</vt:lpwstr>
  </property>
</Properties>
</file>