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仿宋_GB2312"/>
          <w:sz w:val="30"/>
        </w:rPr>
      </w:pPr>
      <w:bookmarkStart w:id="0" w:name="_GoBack"/>
      <w:bookmarkEnd w:id="0"/>
    </w:p>
    <w:p>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pPr>
        <w:spacing w:line="360" w:lineRule="auto"/>
        <w:jc w:val="center"/>
        <w:rPr>
          <w:rFonts w:ascii="黑体" w:eastAsia="黑体"/>
          <w:sz w:val="32"/>
          <w:szCs w:val="32"/>
        </w:rPr>
      </w:pPr>
      <w:r>
        <w:rPr>
          <w:rFonts w:hint="eastAsia" w:ascii="黑体" w:eastAsia="黑体"/>
          <w:sz w:val="32"/>
          <w:szCs w:val="32"/>
        </w:rPr>
        <w:t>（202</w:t>
      </w:r>
      <w:r>
        <w:rPr>
          <w:rFonts w:hint="eastAsia" w:ascii="黑体" w:eastAsia="黑体"/>
          <w:sz w:val="32"/>
          <w:szCs w:val="32"/>
          <w:lang w:val="en-US" w:eastAsia="zh-CN"/>
        </w:rPr>
        <w:t>5</w:t>
      </w:r>
      <w:r>
        <w:rPr>
          <w:rFonts w:hint="eastAsia" w:ascii="黑体" w:eastAsia="黑体"/>
          <w:sz w:val="32"/>
          <w:szCs w:val="32"/>
        </w:rPr>
        <w:t>年度）</w:t>
      </w:r>
    </w:p>
    <w:p>
      <w:pPr>
        <w:spacing w:line="360" w:lineRule="auto"/>
        <w:jc w:val="center"/>
        <w:rPr>
          <w:rFonts w:eastAsia="仿宋_GB2312"/>
          <w:sz w:val="30"/>
        </w:rPr>
      </w:pPr>
    </w:p>
    <w:p>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苏州市市级机关物业管理中心</w:t>
      </w:r>
    </w:p>
    <w:p>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pPr>
        <w:spacing w:line="360" w:lineRule="auto"/>
        <w:ind w:firstLine="480" w:firstLineChars="200"/>
        <w:rPr>
          <w:rFonts w:ascii="宋体" w:hAnsi="宋体" w:cs="宋体"/>
          <w:sz w:val="24"/>
        </w:rPr>
      </w:pPr>
      <w:r>
        <w:rPr>
          <w:rFonts w:hint="eastAsia" w:ascii="宋体" w:hAnsi="宋体" w:cs="宋体"/>
          <w:sz w:val="24"/>
        </w:rPr>
        <w:t>2025年，市级机关物业管理中心在主管局的正确领导下，在全体同事的共同努力下，紧扣《苏州市机关事务工作高质量发展三年行动计划》目标要求，以“精细化管理、智慧化赋能、暖心化服务”为核心，统筹推进物业集中统管、业务提质增效、服务保障延伸等重点工作。作为三年行动计划核心任务，全年重点推进市级党政机关物业集中统一管理：3月完成招标文件编制并在省、市政府采购网公示，4月完成开标评标，确定4个标段中标单位，整体节支率4.12%，9月完成三香路998号和干将西路1038号集中办公区物业及安保服务政府采购工作。对完成招标后对合同到期或临期的15家单位逐个上门对接，制定交接方案，协调新老物业衔接，做好了累计32家单位的费用核算及支付工作。围绕“品质提升、安全规范、服务暖心”目标推进。特色窗口持续优化,联动吴江、姑苏等6个板块开展餐饮交流，推出新菜60余道。安全管理不松懈，每月自查、节前专项检查，整改隐患32项，开展“油锅起火演练”等培训8次。消费帮扶超额完成，832平台达预算101.7%，开展农副产品展销近40次。同步推进智能升级，智慧食堂称菜设备试运行，智能炒菜机投入运营，反食品浪费率控制在5%内。聚焦设备保障与改造升级，重点完成6号楼强弱电间改造、9号楼空调机房升级与地面改造、经贸大厦空调维修等项目；水工、电工、木工等维修班组累计完成维修超2000次。季节性保障到位，冬季做好户外设施防冻巡检，夏季开展防汛应急演练与给排水维护，春秋季推进空调换季保养等。全年保障会议累计超1800场（含一级会议300余场、常委会议室会议60余场），服务细节持续优化，常委会议室配木质水壶架，更换1号楼、12号楼会议室椅套。开展音控操作、消防疏散演练等培训12次，及时维修故障灯光、处理设备受潮问题，确保会议高效有序。以“清洁达标、消杀到位、隐患排查”为核心，保障办公环境整洁安全。全年网格化排查问题1600余项，其中设备故障类占比约60%、建筑类约35%，均及时上报整改；每月更换电梯抗菌贴膜，流感高发期强化公共区域消杀。台风季提前清淤排水、备防汛物资，春节、国庆前开展大扫除，协助整理办公室、党群服务中心等区域，筑牢清洁安全防线。聚焦1038号集中办公区设施完善与服务优化，完成4号楼装修及排烟罩改造、1号楼电梯轿厢翻新与通道打通，更新3号楼防水层，清洗生活水箱并完成电梯年检；全年会务保障44场，保障省专班临时办公，召开入驻单位座谈会；配合光伏维护、垃圾分类，清理围墙外侧隐患树枝；开展消防演练，整改西门岗老化电路，解决雨天积水，保障办公区平稳运行。聚焦四大中心集中办公区后勤保障与安全运维，餐饮上做好食材日验收、完成餐具洗涤系统更新，每月开展四害消杀、油烟管道清洗；全年对接援疆、农业农村局等开展农产品展销20余次，配合城投完成整治地下车库停车问题；安全上组织消防培训演练，台风天处置机房漏水；同步推进智慧结算系统调研、能耗审计，保障办公区运行有序。</w:t>
      </w:r>
    </w:p>
    <w:p>
      <w:pPr>
        <w:spacing w:line="360" w:lineRule="auto"/>
        <w:ind w:left="600"/>
        <w:rPr>
          <w:rFonts w:ascii="黑体" w:hAnsi="黑体" w:eastAsia="黑体"/>
          <w:sz w:val="30"/>
        </w:rPr>
      </w:pPr>
      <w:r>
        <w:rPr>
          <w:rFonts w:hint="eastAsia" w:ascii="黑体" w:hAnsi="黑体" w:eastAsia="黑体"/>
          <w:sz w:val="30"/>
        </w:rPr>
        <w:t>三、部门（单位）概况</w:t>
      </w:r>
    </w:p>
    <w:p>
      <w:pPr>
        <w:spacing w:line="360" w:lineRule="auto"/>
        <w:ind w:firstLine="480" w:firstLineChars="200"/>
        <w:rPr>
          <w:rFonts w:ascii="宋体" w:hAnsi="宋体" w:cs="宋体"/>
          <w:sz w:val="24"/>
        </w:rPr>
      </w:pPr>
      <w:r>
        <w:rPr>
          <w:rFonts w:hint="eastAsia" w:ascii="宋体" w:hAnsi="宋体" w:cs="宋体"/>
          <w:sz w:val="24"/>
        </w:rPr>
        <w:t>1、拟定市级机关物业管理标准并组织实施，为机关后勤管理提供保障服务。2、协助审核市级机关各部门基础设施设备维保、采购及运行费用拨付等方面的资金使用。3、参与有关机关后勤服务的设备、外包服务和零星维修工程的采购招标工作，并做好工程考核及经费拨付。4、负责全市机关后勤工作的信息沟通与协调。</w:t>
      </w:r>
    </w:p>
    <w:p>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pPr>
        <w:spacing w:line="360" w:lineRule="auto"/>
        <w:ind w:firstLine="480" w:firstLineChars="200"/>
        <w:rPr>
          <w:rFonts w:ascii="宋体" w:hAnsi="宋体" w:cs="宋体"/>
          <w:sz w:val="24"/>
        </w:rPr>
      </w:pPr>
      <w:r>
        <w:rPr>
          <w:rFonts w:hint="eastAsia" w:ascii="宋体" w:hAnsi="宋体" w:cs="宋体"/>
          <w:sz w:val="24"/>
        </w:rPr>
        <w:t>2025年全年预算数共计24253.72万元，预算支出共计24259.86万元，其中：基本支出3544.28万元，项目支出20715.58万元；全年单位整体支出绩效目标实现较好，全面完成绩效目标任务。</w:t>
      </w:r>
    </w:p>
    <w:p>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pPr>
        <w:spacing w:line="360" w:lineRule="auto"/>
        <w:ind w:firstLine="480" w:firstLineChars="200"/>
        <w:rPr>
          <w:rFonts w:ascii="宋体" w:hAnsi="宋体" w:cs="宋体"/>
          <w:sz w:val="24"/>
        </w:rPr>
      </w:pPr>
      <w:r>
        <w:rPr>
          <w:rFonts w:hint="eastAsia" w:ascii="宋体" w:hAnsi="宋体" w:cs="宋体"/>
          <w:sz w:val="24"/>
        </w:rPr>
        <w:t>进一步加强预算编制管理，预算编制工作有待细化，预算的执行力度仍需加强，提高预算绩效编制的科学性、合理性、严谨性和可控性；同时加强资金使用管理，开展项目绩效评价，科学、合理安排支出项目。</w:t>
      </w:r>
    </w:p>
    <w:p>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pPr>
        <w:spacing w:line="360" w:lineRule="auto"/>
        <w:ind w:firstLine="480" w:firstLineChars="200"/>
        <w:rPr>
          <w:rFonts w:ascii="宋体" w:hAnsi="宋体" w:cs="宋体"/>
          <w:sz w:val="24"/>
        </w:rPr>
      </w:pPr>
      <w:r>
        <w:rPr>
          <w:rFonts w:hint="eastAsia" w:ascii="宋体" w:hAnsi="宋体" w:cs="宋体"/>
          <w:sz w:val="24"/>
        </w:rPr>
        <w:t>按照公开要求完成公开。</w:t>
      </w:r>
    </w:p>
    <w:p>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pPr>
        <w:numPr>
          <w:ilvl w:val="0"/>
          <w:numId w:val="1"/>
        </w:numPr>
        <w:spacing w:line="360" w:lineRule="auto"/>
        <w:ind w:left="600"/>
        <w:rPr>
          <w:rFonts w:ascii="黑体" w:hAnsi="黑体" w:eastAsia="黑体"/>
          <w:sz w:val="30"/>
        </w:rPr>
      </w:pPr>
      <w:r>
        <w:rPr>
          <w:rFonts w:hint="eastAsia" w:ascii="黑体" w:hAnsi="黑体" w:eastAsia="黑体"/>
          <w:sz w:val="30"/>
        </w:rPr>
        <w:t>预算信息</w:t>
      </w:r>
    </w:p>
    <w:p>
      <w:pPr>
        <w:spacing w:line="360" w:lineRule="auto"/>
        <w:ind w:left="600"/>
        <w:rPr>
          <w:rFonts w:ascii="黑体" w:hAnsi="黑体" w:eastAsia="黑体"/>
          <w:sz w:val="30"/>
        </w:rPr>
      </w:pP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9" w:hRule="atLeast"/>
        </w:trPr>
        <w:tc>
          <w:tcPr>
            <w:tcW w:w="3079" w:type="dxa"/>
            <w:shd w:val="clear" w:color="000000" w:fill="BFBFBF"/>
            <w:vAlign w:val="center"/>
          </w:tcPr>
          <w:p>
            <w:pPr>
              <w:widowControl/>
              <w:jc w:val="center"/>
              <w:rPr>
                <w:rFonts w:ascii="宋体" w:hAnsi="宋体" w:cs="宋体"/>
                <w:b/>
                <w:bCs/>
                <w:kern w:val="0"/>
                <w:sz w:val="24"/>
              </w:rPr>
            </w:pPr>
            <w:r>
              <w:rPr>
                <w:rFonts w:hint="eastAsia" w:ascii="宋体" w:hAnsi="宋体" w:cs="宋体"/>
                <w:b/>
                <w:bCs/>
                <w:kern w:val="0"/>
                <w:sz w:val="24"/>
              </w:rPr>
              <w:t>本年度预算资金（万元）</w:t>
            </w:r>
          </w:p>
        </w:tc>
        <w:tc>
          <w:tcPr>
            <w:tcW w:w="2268" w:type="dxa"/>
            <w:shd w:val="clear" w:color="000000" w:fill="BFBFBF"/>
            <w:vAlign w:val="center"/>
          </w:tcPr>
          <w:p>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pPr>
              <w:widowControl/>
              <w:jc w:val="center"/>
              <w:rPr>
                <w:rFonts w:ascii="宋体" w:hAnsi="宋体" w:cs="宋体"/>
                <w:b/>
                <w:bCs/>
                <w:kern w:val="0"/>
                <w:sz w:val="24"/>
              </w:rPr>
            </w:pPr>
            <w:r>
              <w:rPr>
                <w:rFonts w:hint="eastAsia" w:ascii="宋体" w:hAnsi="宋体" w:cs="宋体"/>
                <w:b/>
                <w:bCs/>
                <w:kern w:val="0"/>
                <w:sz w:val="24"/>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3079" w:type="dxa"/>
            <w:vAlign w:val="center"/>
          </w:tcPr>
          <w:p>
            <w:pPr>
              <w:widowControl/>
              <w:jc w:val="left"/>
              <w:rPr>
                <w:rFonts w:ascii="宋体" w:hAnsi="宋体" w:cs="宋体"/>
                <w:kern w:val="0"/>
                <w:sz w:val="24"/>
              </w:rPr>
            </w:pPr>
            <w:r>
              <w:rPr>
                <w:rFonts w:hint="eastAsia" w:ascii="宋体" w:hAnsi="宋体" w:cs="宋体"/>
                <w:sz w:val="24"/>
              </w:rPr>
              <w:t>预算总金额</w:t>
            </w:r>
          </w:p>
        </w:tc>
        <w:tc>
          <w:tcPr>
            <w:tcW w:w="2268" w:type="dxa"/>
            <w:vAlign w:val="center"/>
          </w:tcPr>
          <w:p>
            <w:pPr>
              <w:widowControl/>
              <w:jc w:val="center"/>
              <w:rPr>
                <w:rFonts w:ascii="宋体" w:hAnsi="宋体" w:cs="宋体"/>
                <w:kern w:val="0"/>
                <w:sz w:val="24"/>
              </w:rPr>
            </w:pPr>
            <w:r>
              <w:rPr>
                <w:rFonts w:hint="eastAsia" w:ascii="宋体" w:hAnsi="宋体" w:cs="宋体"/>
                <w:sz w:val="24"/>
              </w:rPr>
              <w:t>16003.96</w:t>
            </w:r>
          </w:p>
        </w:tc>
        <w:tc>
          <w:tcPr>
            <w:tcW w:w="2268" w:type="dxa"/>
            <w:vAlign w:val="center"/>
          </w:tcPr>
          <w:p>
            <w:pPr>
              <w:widowControl/>
              <w:jc w:val="center"/>
              <w:rPr>
                <w:rFonts w:ascii="宋体" w:hAnsi="宋体" w:cs="宋体"/>
                <w:sz w:val="24"/>
              </w:rPr>
            </w:pPr>
            <w:r>
              <w:rPr>
                <w:rFonts w:hint="eastAsia" w:ascii="宋体" w:hAnsi="宋体" w:cs="宋体"/>
                <w:sz w:val="24"/>
              </w:rPr>
              <w:t>8364.65</w:t>
            </w:r>
          </w:p>
        </w:tc>
        <w:tc>
          <w:tcPr>
            <w:tcW w:w="2268" w:type="dxa"/>
            <w:vAlign w:val="center"/>
          </w:tcPr>
          <w:p>
            <w:pPr>
              <w:widowControl/>
              <w:jc w:val="center"/>
              <w:rPr>
                <w:rFonts w:ascii="宋体" w:hAnsi="宋体" w:cs="宋体"/>
                <w:sz w:val="24"/>
              </w:rPr>
            </w:pPr>
            <w:r>
              <w:rPr>
                <w:rFonts w:hint="eastAsia" w:ascii="宋体" w:hAnsi="宋体" w:cs="宋体"/>
                <w:sz w:val="24"/>
              </w:rPr>
              <w:t>24368.61</w:t>
            </w:r>
          </w:p>
        </w:tc>
        <w:tc>
          <w:tcPr>
            <w:tcW w:w="2268" w:type="dxa"/>
            <w:vAlign w:val="center"/>
          </w:tcPr>
          <w:p>
            <w:pPr>
              <w:widowControl/>
              <w:jc w:val="center"/>
              <w:rPr>
                <w:rFonts w:ascii="宋体" w:hAnsi="宋体" w:cs="宋体"/>
                <w:sz w:val="24"/>
              </w:rPr>
            </w:pPr>
            <w:r>
              <w:rPr>
                <w:rFonts w:hint="eastAsia" w:ascii="宋体" w:hAnsi="宋体" w:cs="宋体"/>
                <w:sz w:val="24"/>
              </w:rPr>
              <w:t>24259.86</w:t>
            </w:r>
          </w:p>
        </w:tc>
        <w:tc>
          <w:tcPr>
            <w:tcW w:w="2268" w:type="dxa"/>
            <w:vAlign w:val="center"/>
          </w:tcPr>
          <w:p>
            <w:pPr>
              <w:widowControl/>
              <w:jc w:val="center"/>
              <w:rPr>
                <w:rFonts w:ascii="宋体" w:hAnsi="宋体" w:cs="宋体"/>
                <w:sz w:val="24"/>
              </w:rPr>
            </w:pPr>
            <w:r>
              <w:rPr>
                <w:rFonts w:hint="eastAsia" w:ascii="宋体" w:hAnsi="宋体" w:cs="宋体"/>
                <w:sz w:val="24"/>
              </w:rPr>
              <w:t>99.55%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3079" w:type="dxa"/>
            <w:vAlign w:val="center"/>
          </w:tcPr>
          <w:p>
            <w:pPr>
              <w:widowControl/>
              <w:jc w:val="left"/>
              <w:rPr>
                <w:rFonts w:ascii="宋体" w:hAnsi="宋体" w:cs="宋体"/>
                <w:kern w:val="0"/>
                <w:sz w:val="24"/>
              </w:rPr>
            </w:pPr>
            <w:r>
              <w:rPr>
                <w:rFonts w:hint="eastAsia" w:ascii="宋体" w:hAnsi="宋体" w:cs="宋体"/>
                <w:sz w:val="24"/>
              </w:rPr>
              <w:t>基本支出</w:t>
            </w:r>
          </w:p>
        </w:tc>
        <w:tc>
          <w:tcPr>
            <w:tcW w:w="2268" w:type="dxa"/>
            <w:vAlign w:val="center"/>
          </w:tcPr>
          <w:p>
            <w:pPr>
              <w:widowControl/>
              <w:jc w:val="center"/>
              <w:rPr>
                <w:rFonts w:ascii="宋体" w:hAnsi="宋体" w:cs="宋体"/>
                <w:kern w:val="0"/>
                <w:sz w:val="24"/>
              </w:rPr>
            </w:pPr>
            <w:r>
              <w:rPr>
                <w:rFonts w:hint="eastAsia" w:ascii="宋体" w:hAnsi="宋体" w:cs="宋体"/>
                <w:sz w:val="24"/>
              </w:rPr>
              <w:t>3431.98</w:t>
            </w:r>
          </w:p>
        </w:tc>
        <w:tc>
          <w:tcPr>
            <w:tcW w:w="2268" w:type="dxa"/>
            <w:vAlign w:val="center"/>
          </w:tcPr>
          <w:p>
            <w:pPr>
              <w:widowControl/>
              <w:jc w:val="center"/>
              <w:rPr>
                <w:rFonts w:ascii="宋体" w:hAnsi="宋体" w:cs="宋体"/>
                <w:sz w:val="24"/>
              </w:rPr>
            </w:pPr>
            <w:r>
              <w:rPr>
                <w:rFonts w:hint="eastAsia" w:ascii="宋体" w:hAnsi="宋体" w:cs="宋体"/>
                <w:sz w:val="24"/>
              </w:rPr>
              <w:t>145.31</w:t>
            </w:r>
          </w:p>
        </w:tc>
        <w:tc>
          <w:tcPr>
            <w:tcW w:w="2268" w:type="dxa"/>
            <w:vAlign w:val="center"/>
          </w:tcPr>
          <w:p>
            <w:pPr>
              <w:widowControl/>
              <w:jc w:val="center"/>
              <w:rPr>
                <w:rFonts w:ascii="宋体" w:hAnsi="宋体" w:cs="宋体"/>
                <w:sz w:val="24"/>
              </w:rPr>
            </w:pPr>
            <w:r>
              <w:rPr>
                <w:rFonts w:hint="eastAsia" w:ascii="宋体" w:hAnsi="宋体" w:cs="宋体"/>
                <w:sz w:val="24"/>
              </w:rPr>
              <w:t>3577.29</w:t>
            </w:r>
          </w:p>
        </w:tc>
        <w:tc>
          <w:tcPr>
            <w:tcW w:w="2268" w:type="dxa"/>
            <w:vAlign w:val="center"/>
          </w:tcPr>
          <w:p>
            <w:pPr>
              <w:widowControl/>
              <w:jc w:val="center"/>
              <w:rPr>
                <w:rFonts w:ascii="宋体" w:hAnsi="宋体" w:cs="宋体"/>
                <w:sz w:val="24"/>
              </w:rPr>
            </w:pPr>
            <w:r>
              <w:rPr>
                <w:rFonts w:hint="eastAsia" w:ascii="宋体" w:hAnsi="宋体" w:cs="宋体"/>
                <w:sz w:val="24"/>
              </w:rPr>
              <w:t>3544.28</w:t>
            </w:r>
          </w:p>
        </w:tc>
        <w:tc>
          <w:tcPr>
            <w:tcW w:w="2268" w:type="dxa"/>
            <w:vAlign w:val="center"/>
          </w:tcPr>
          <w:p>
            <w:pPr>
              <w:widowControl/>
              <w:jc w:val="center"/>
              <w:rPr>
                <w:rFonts w:ascii="宋体" w:hAnsi="宋体" w:cs="宋体"/>
                <w:sz w:val="24"/>
              </w:rPr>
            </w:pPr>
            <w:r>
              <w:rPr>
                <w:rFonts w:hint="eastAsia" w:ascii="宋体" w:hAnsi="宋体" w:cs="宋体"/>
                <w:sz w:val="24"/>
              </w:rPr>
              <w:t>99.08%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3079" w:type="dxa"/>
            <w:vAlign w:val="center"/>
          </w:tcPr>
          <w:p>
            <w:pPr>
              <w:widowControl/>
              <w:jc w:val="left"/>
              <w:rPr>
                <w:rFonts w:ascii="宋体" w:hAnsi="宋体" w:cs="宋体"/>
                <w:kern w:val="0"/>
                <w:sz w:val="24"/>
              </w:rPr>
            </w:pPr>
            <w:r>
              <w:rPr>
                <w:rFonts w:hint="eastAsia" w:ascii="宋体" w:hAnsi="宋体" w:cs="宋体"/>
                <w:sz w:val="24"/>
              </w:rPr>
              <w:t>项目支出</w:t>
            </w:r>
          </w:p>
        </w:tc>
        <w:tc>
          <w:tcPr>
            <w:tcW w:w="2268" w:type="dxa"/>
            <w:vAlign w:val="center"/>
          </w:tcPr>
          <w:p>
            <w:pPr>
              <w:widowControl/>
              <w:jc w:val="center"/>
              <w:rPr>
                <w:rFonts w:ascii="宋体" w:hAnsi="宋体" w:cs="宋体"/>
                <w:kern w:val="0"/>
                <w:sz w:val="24"/>
              </w:rPr>
            </w:pPr>
            <w:r>
              <w:rPr>
                <w:rFonts w:hint="eastAsia" w:ascii="宋体" w:hAnsi="宋体" w:cs="宋体"/>
                <w:sz w:val="24"/>
              </w:rPr>
              <w:t>12571.98</w:t>
            </w:r>
          </w:p>
        </w:tc>
        <w:tc>
          <w:tcPr>
            <w:tcW w:w="2268" w:type="dxa"/>
            <w:vAlign w:val="center"/>
          </w:tcPr>
          <w:p>
            <w:pPr>
              <w:widowControl/>
              <w:jc w:val="center"/>
              <w:rPr>
                <w:rFonts w:ascii="宋体" w:hAnsi="宋体" w:cs="宋体"/>
                <w:sz w:val="24"/>
              </w:rPr>
            </w:pPr>
            <w:r>
              <w:rPr>
                <w:rFonts w:hint="eastAsia" w:ascii="宋体" w:hAnsi="宋体" w:cs="宋体"/>
                <w:sz w:val="24"/>
              </w:rPr>
              <w:t>8219.34</w:t>
            </w:r>
          </w:p>
        </w:tc>
        <w:tc>
          <w:tcPr>
            <w:tcW w:w="2268" w:type="dxa"/>
            <w:vAlign w:val="center"/>
          </w:tcPr>
          <w:p>
            <w:pPr>
              <w:widowControl/>
              <w:jc w:val="center"/>
              <w:rPr>
                <w:rFonts w:ascii="宋体" w:hAnsi="宋体" w:cs="宋体"/>
                <w:sz w:val="24"/>
              </w:rPr>
            </w:pPr>
            <w:r>
              <w:rPr>
                <w:rFonts w:hint="eastAsia" w:ascii="宋体" w:hAnsi="宋体" w:cs="宋体"/>
                <w:sz w:val="24"/>
              </w:rPr>
              <w:t>20791.32</w:t>
            </w:r>
          </w:p>
        </w:tc>
        <w:tc>
          <w:tcPr>
            <w:tcW w:w="2268" w:type="dxa"/>
            <w:vAlign w:val="center"/>
          </w:tcPr>
          <w:p>
            <w:pPr>
              <w:widowControl/>
              <w:jc w:val="center"/>
              <w:rPr>
                <w:rFonts w:ascii="宋体" w:hAnsi="宋体" w:cs="宋体"/>
                <w:sz w:val="24"/>
              </w:rPr>
            </w:pPr>
            <w:r>
              <w:rPr>
                <w:rFonts w:hint="eastAsia" w:ascii="宋体" w:hAnsi="宋体" w:cs="宋体"/>
                <w:sz w:val="24"/>
              </w:rPr>
              <w:t>20715.58</w:t>
            </w:r>
          </w:p>
        </w:tc>
        <w:tc>
          <w:tcPr>
            <w:tcW w:w="2268" w:type="dxa"/>
            <w:vAlign w:val="center"/>
          </w:tcPr>
          <w:p>
            <w:pPr>
              <w:widowControl/>
              <w:jc w:val="center"/>
              <w:rPr>
                <w:rFonts w:ascii="宋体" w:hAnsi="宋体" w:cs="宋体"/>
                <w:sz w:val="24"/>
              </w:rPr>
            </w:pPr>
            <w:r>
              <w:rPr>
                <w:rFonts w:hint="eastAsia" w:ascii="宋体" w:hAnsi="宋体" w:cs="宋体"/>
                <w:sz w:val="24"/>
              </w:rPr>
              <w:t>99.64%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3079" w:type="dxa"/>
            <w:vAlign w:val="center"/>
          </w:tcPr>
          <w:p>
            <w:pPr>
              <w:widowControl/>
              <w:jc w:val="left"/>
              <w:rPr>
                <w:rFonts w:ascii="宋体" w:hAnsi="宋体" w:cs="宋体"/>
                <w:kern w:val="0"/>
                <w:sz w:val="24"/>
              </w:rPr>
            </w:pPr>
            <w:r>
              <w:rPr>
                <w:rFonts w:hint="eastAsia" w:ascii="宋体" w:hAnsi="宋体" w:cs="宋体"/>
                <w:sz w:val="24"/>
              </w:rPr>
              <w:t>日常维修维护费</w:t>
            </w:r>
          </w:p>
        </w:tc>
        <w:tc>
          <w:tcPr>
            <w:tcW w:w="2268" w:type="dxa"/>
            <w:vAlign w:val="center"/>
          </w:tcPr>
          <w:p>
            <w:pPr>
              <w:widowControl/>
              <w:jc w:val="center"/>
              <w:rPr>
                <w:rFonts w:ascii="宋体" w:hAnsi="宋体" w:cs="宋体"/>
                <w:kern w:val="0"/>
                <w:sz w:val="24"/>
              </w:rPr>
            </w:pPr>
            <w:r>
              <w:rPr>
                <w:rFonts w:hint="eastAsia" w:ascii="宋体" w:hAnsi="宋体" w:cs="宋体"/>
                <w:sz w:val="24"/>
              </w:rPr>
              <w:t>330</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330</w:t>
            </w:r>
          </w:p>
        </w:tc>
        <w:tc>
          <w:tcPr>
            <w:tcW w:w="2268" w:type="dxa"/>
            <w:vAlign w:val="center"/>
          </w:tcPr>
          <w:p>
            <w:pPr>
              <w:widowControl/>
              <w:jc w:val="center"/>
              <w:rPr>
                <w:rFonts w:ascii="宋体" w:hAnsi="宋体" w:cs="宋体"/>
                <w:sz w:val="24"/>
              </w:rPr>
            </w:pPr>
            <w:r>
              <w:rPr>
                <w:rFonts w:hint="eastAsia" w:ascii="宋体" w:hAnsi="宋体" w:cs="宋体"/>
                <w:sz w:val="24"/>
              </w:rPr>
              <w:t>318.17</w:t>
            </w:r>
          </w:p>
        </w:tc>
        <w:tc>
          <w:tcPr>
            <w:tcW w:w="2268" w:type="dxa"/>
            <w:vAlign w:val="center"/>
          </w:tcPr>
          <w:p>
            <w:pPr>
              <w:widowControl/>
              <w:jc w:val="center"/>
              <w:rPr>
                <w:rFonts w:ascii="宋体" w:hAnsi="宋体" w:cs="宋体"/>
                <w:sz w:val="24"/>
              </w:rPr>
            </w:pPr>
            <w:r>
              <w:rPr>
                <w:rFonts w:hint="eastAsia" w:ascii="宋体" w:hAnsi="宋体" w:cs="宋体"/>
                <w:sz w:val="24"/>
              </w:rPr>
              <w:t>96.42%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3079" w:type="dxa"/>
            <w:vAlign w:val="center"/>
          </w:tcPr>
          <w:p>
            <w:pPr>
              <w:widowControl/>
              <w:jc w:val="left"/>
              <w:rPr>
                <w:rFonts w:ascii="宋体" w:hAnsi="宋体" w:cs="宋体"/>
                <w:kern w:val="0"/>
                <w:sz w:val="24"/>
              </w:rPr>
            </w:pPr>
            <w:r>
              <w:rPr>
                <w:rFonts w:hint="eastAsia" w:ascii="宋体" w:hAnsi="宋体" w:cs="宋体"/>
                <w:sz w:val="24"/>
              </w:rPr>
              <w:t>干将路1038号集中办公区运维费</w:t>
            </w:r>
          </w:p>
        </w:tc>
        <w:tc>
          <w:tcPr>
            <w:tcW w:w="2268" w:type="dxa"/>
            <w:vAlign w:val="center"/>
          </w:tcPr>
          <w:p>
            <w:pPr>
              <w:widowControl/>
              <w:jc w:val="center"/>
              <w:rPr>
                <w:rFonts w:ascii="宋体" w:hAnsi="宋体" w:cs="宋体"/>
                <w:kern w:val="0"/>
                <w:sz w:val="24"/>
              </w:rPr>
            </w:pPr>
            <w:r>
              <w:rPr>
                <w:rFonts w:hint="eastAsia" w:ascii="宋体" w:hAnsi="宋体" w:cs="宋体"/>
                <w:sz w:val="24"/>
              </w:rPr>
              <w:t>502.78</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502.78</w:t>
            </w:r>
          </w:p>
        </w:tc>
        <w:tc>
          <w:tcPr>
            <w:tcW w:w="2268" w:type="dxa"/>
            <w:vAlign w:val="center"/>
          </w:tcPr>
          <w:p>
            <w:pPr>
              <w:widowControl/>
              <w:jc w:val="center"/>
              <w:rPr>
                <w:rFonts w:ascii="宋体" w:hAnsi="宋体" w:cs="宋体"/>
                <w:sz w:val="24"/>
              </w:rPr>
            </w:pPr>
            <w:r>
              <w:rPr>
                <w:rFonts w:hint="eastAsia" w:ascii="宋体" w:hAnsi="宋体" w:cs="宋体"/>
                <w:sz w:val="24"/>
              </w:rPr>
              <w:t>496.55</w:t>
            </w:r>
          </w:p>
        </w:tc>
        <w:tc>
          <w:tcPr>
            <w:tcW w:w="2268" w:type="dxa"/>
            <w:vAlign w:val="center"/>
          </w:tcPr>
          <w:p>
            <w:pPr>
              <w:widowControl/>
              <w:jc w:val="center"/>
              <w:rPr>
                <w:rFonts w:ascii="宋体" w:hAnsi="宋体" w:cs="宋体"/>
                <w:sz w:val="24"/>
              </w:rPr>
            </w:pPr>
            <w:r>
              <w:rPr>
                <w:rFonts w:hint="eastAsia" w:ascii="宋体" w:hAnsi="宋体" w:cs="宋体"/>
                <w:sz w:val="24"/>
              </w:rPr>
              <w:t>98.76%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3079" w:type="dxa"/>
            <w:vAlign w:val="center"/>
          </w:tcPr>
          <w:p>
            <w:pPr>
              <w:widowControl/>
              <w:jc w:val="left"/>
              <w:rPr>
                <w:rFonts w:ascii="宋体" w:hAnsi="宋体" w:cs="宋体"/>
                <w:kern w:val="0"/>
                <w:sz w:val="24"/>
              </w:rPr>
            </w:pPr>
            <w:r>
              <w:rPr>
                <w:rFonts w:hint="eastAsia" w:ascii="宋体" w:hAnsi="宋体" w:cs="宋体"/>
                <w:sz w:val="24"/>
              </w:rPr>
              <w:t>四大中心集中办公区运维费</w:t>
            </w:r>
          </w:p>
        </w:tc>
        <w:tc>
          <w:tcPr>
            <w:tcW w:w="2268" w:type="dxa"/>
            <w:vAlign w:val="center"/>
          </w:tcPr>
          <w:p>
            <w:pPr>
              <w:widowControl/>
              <w:jc w:val="center"/>
              <w:rPr>
                <w:rFonts w:ascii="宋体" w:hAnsi="宋体" w:cs="宋体"/>
                <w:kern w:val="0"/>
                <w:sz w:val="24"/>
              </w:rPr>
            </w:pPr>
            <w:r>
              <w:rPr>
                <w:rFonts w:hint="eastAsia" w:ascii="宋体" w:hAnsi="宋体" w:cs="宋体"/>
                <w:sz w:val="24"/>
              </w:rPr>
              <w:t>5469.43</w:t>
            </w:r>
          </w:p>
        </w:tc>
        <w:tc>
          <w:tcPr>
            <w:tcW w:w="2268" w:type="dxa"/>
            <w:vAlign w:val="center"/>
          </w:tcPr>
          <w:p>
            <w:pPr>
              <w:widowControl/>
              <w:jc w:val="center"/>
              <w:rPr>
                <w:rFonts w:ascii="宋体" w:hAnsi="宋体" w:cs="宋体"/>
                <w:sz w:val="24"/>
              </w:rPr>
            </w:pPr>
            <w:r>
              <w:rPr>
                <w:rFonts w:hint="eastAsia" w:ascii="宋体" w:hAnsi="宋体" w:cs="宋体"/>
                <w:sz w:val="24"/>
              </w:rPr>
              <w:t>-1166</w:t>
            </w:r>
          </w:p>
        </w:tc>
        <w:tc>
          <w:tcPr>
            <w:tcW w:w="2268" w:type="dxa"/>
            <w:vAlign w:val="center"/>
          </w:tcPr>
          <w:p>
            <w:pPr>
              <w:widowControl/>
              <w:jc w:val="center"/>
              <w:rPr>
                <w:rFonts w:ascii="宋体" w:hAnsi="宋体" w:cs="宋体"/>
                <w:sz w:val="24"/>
              </w:rPr>
            </w:pPr>
            <w:r>
              <w:rPr>
                <w:rFonts w:hint="eastAsia" w:ascii="宋体" w:hAnsi="宋体" w:cs="宋体"/>
                <w:sz w:val="24"/>
              </w:rPr>
              <w:t>4303.43</w:t>
            </w:r>
          </w:p>
        </w:tc>
        <w:tc>
          <w:tcPr>
            <w:tcW w:w="2268" w:type="dxa"/>
            <w:vAlign w:val="center"/>
          </w:tcPr>
          <w:p>
            <w:pPr>
              <w:widowControl/>
              <w:jc w:val="center"/>
              <w:rPr>
                <w:rFonts w:ascii="宋体" w:hAnsi="宋体" w:cs="宋体"/>
                <w:sz w:val="24"/>
              </w:rPr>
            </w:pPr>
            <w:r>
              <w:rPr>
                <w:rFonts w:hint="eastAsia" w:ascii="宋体" w:hAnsi="宋体" w:cs="宋体"/>
                <w:sz w:val="24"/>
              </w:rPr>
              <w:t>4295.55</w:t>
            </w:r>
          </w:p>
        </w:tc>
        <w:tc>
          <w:tcPr>
            <w:tcW w:w="2268" w:type="dxa"/>
            <w:vAlign w:val="center"/>
          </w:tcPr>
          <w:p>
            <w:pPr>
              <w:widowControl/>
              <w:jc w:val="center"/>
              <w:rPr>
                <w:rFonts w:ascii="宋体" w:hAnsi="宋体" w:cs="宋体"/>
                <w:sz w:val="24"/>
              </w:rPr>
            </w:pPr>
            <w:r>
              <w:rPr>
                <w:rFonts w:hint="eastAsia" w:ascii="宋体" w:hAnsi="宋体" w:cs="宋体"/>
                <w:sz w:val="24"/>
              </w:rPr>
              <w:t>99.82%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3079" w:type="dxa"/>
            <w:vAlign w:val="center"/>
          </w:tcPr>
          <w:p>
            <w:pPr>
              <w:widowControl/>
              <w:jc w:val="left"/>
              <w:rPr>
                <w:rFonts w:ascii="宋体" w:hAnsi="宋体" w:cs="宋体"/>
                <w:kern w:val="0"/>
                <w:sz w:val="24"/>
              </w:rPr>
            </w:pPr>
            <w:r>
              <w:rPr>
                <w:rFonts w:hint="eastAsia" w:ascii="宋体" w:hAnsi="宋体" w:cs="宋体"/>
                <w:sz w:val="24"/>
              </w:rPr>
              <w:t>水电气通讯费</w:t>
            </w:r>
          </w:p>
        </w:tc>
        <w:tc>
          <w:tcPr>
            <w:tcW w:w="2268" w:type="dxa"/>
            <w:vAlign w:val="center"/>
          </w:tcPr>
          <w:p>
            <w:pPr>
              <w:widowControl/>
              <w:jc w:val="center"/>
              <w:rPr>
                <w:rFonts w:ascii="宋体" w:hAnsi="宋体" w:cs="宋体"/>
                <w:kern w:val="0"/>
                <w:sz w:val="24"/>
              </w:rPr>
            </w:pPr>
            <w:r>
              <w:rPr>
                <w:rFonts w:hint="eastAsia" w:ascii="宋体" w:hAnsi="宋体" w:cs="宋体"/>
                <w:sz w:val="24"/>
              </w:rPr>
              <w:t>2033</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2033</w:t>
            </w:r>
          </w:p>
        </w:tc>
        <w:tc>
          <w:tcPr>
            <w:tcW w:w="2268" w:type="dxa"/>
            <w:vAlign w:val="center"/>
          </w:tcPr>
          <w:p>
            <w:pPr>
              <w:widowControl/>
              <w:jc w:val="center"/>
              <w:rPr>
                <w:rFonts w:ascii="宋体" w:hAnsi="宋体" w:cs="宋体"/>
                <w:sz w:val="24"/>
              </w:rPr>
            </w:pPr>
            <w:r>
              <w:rPr>
                <w:rFonts w:hint="eastAsia" w:ascii="宋体" w:hAnsi="宋体" w:cs="宋体"/>
                <w:sz w:val="24"/>
              </w:rPr>
              <w:t>2033</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3079" w:type="dxa"/>
            <w:vAlign w:val="center"/>
          </w:tcPr>
          <w:p>
            <w:pPr>
              <w:widowControl/>
              <w:jc w:val="left"/>
              <w:rPr>
                <w:rFonts w:ascii="宋体" w:hAnsi="宋体" w:cs="宋体"/>
                <w:kern w:val="0"/>
                <w:sz w:val="24"/>
              </w:rPr>
            </w:pPr>
            <w:r>
              <w:rPr>
                <w:rFonts w:hint="eastAsia" w:ascii="宋体" w:hAnsi="宋体" w:cs="宋体"/>
                <w:sz w:val="24"/>
              </w:rPr>
              <w:t>物业托管经费</w:t>
            </w:r>
          </w:p>
        </w:tc>
        <w:tc>
          <w:tcPr>
            <w:tcW w:w="2268" w:type="dxa"/>
            <w:vAlign w:val="center"/>
          </w:tcPr>
          <w:p>
            <w:pPr>
              <w:widowControl/>
              <w:jc w:val="center"/>
              <w:rPr>
                <w:rFonts w:ascii="宋体" w:hAnsi="宋体" w:cs="宋体"/>
                <w:kern w:val="0"/>
                <w:sz w:val="24"/>
              </w:rPr>
            </w:pPr>
            <w:r>
              <w:rPr>
                <w:rFonts w:hint="eastAsia" w:ascii="宋体" w:hAnsi="宋体" w:cs="宋体"/>
                <w:sz w:val="24"/>
              </w:rPr>
              <w:t>3836.77</w:t>
            </w:r>
          </w:p>
        </w:tc>
        <w:tc>
          <w:tcPr>
            <w:tcW w:w="2268" w:type="dxa"/>
            <w:vAlign w:val="center"/>
          </w:tcPr>
          <w:p>
            <w:pPr>
              <w:widowControl/>
              <w:jc w:val="center"/>
              <w:rPr>
                <w:rFonts w:ascii="宋体" w:hAnsi="宋体" w:cs="宋体"/>
                <w:sz w:val="24"/>
              </w:rPr>
            </w:pPr>
            <w:r>
              <w:rPr>
                <w:rFonts w:hint="eastAsia" w:ascii="宋体" w:hAnsi="宋体" w:cs="宋体"/>
                <w:sz w:val="24"/>
              </w:rPr>
              <w:t>9695.44</w:t>
            </w:r>
          </w:p>
        </w:tc>
        <w:tc>
          <w:tcPr>
            <w:tcW w:w="2268" w:type="dxa"/>
            <w:vAlign w:val="center"/>
          </w:tcPr>
          <w:p>
            <w:pPr>
              <w:widowControl/>
              <w:jc w:val="center"/>
              <w:rPr>
                <w:rFonts w:ascii="宋体" w:hAnsi="宋体" w:cs="宋体"/>
                <w:sz w:val="24"/>
              </w:rPr>
            </w:pPr>
            <w:r>
              <w:rPr>
                <w:rFonts w:hint="eastAsia" w:ascii="宋体" w:hAnsi="宋体" w:cs="宋体"/>
                <w:sz w:val="24"/>
              </w:rPr>
              <w:t>13532.21</w:t>
            </w:r>
          </w:p>
        </w:tc>
        <w:tc>
          <w:tcPr>
            <w:tcW w:w="2268" w:type="dxa"/>
            <w:vAlign w:val="center"/>
          </w:tcPr>
          <w:p>
            <w:pPr>
              <w:widowControl/>
              <w:jc w:val="center"/>
              <w:rPr>
                <w:rFonts w:ascii="宋体" w:hAnsi="宋体" w:cs="宋体"/>
                <w:sz w:val="24"/>
              </w:rPr>
            </w:pPr>
            <w:r>
              <w:rPr>
                <w:rFonts w:hint="eastAsia" w:ascii="宋体" w:hAnsi="宋体" w:cs="宋体"/>
                <w:sz w:val="24"/>
              </w:rPr>
              <w:t>13500.22</w:t>
            </w:r>
          </w:p>
        </w:tc>
        <w:tc>
          <w:tcPr>
            <w:tcW w:w="2268" w:type="dxa"/>
            <w:vAlign w:val="center"/>
          </w:tcPr>
          <w:p>
            <w:pPr>
              <w:widowControl/>
              <w:jc w:val="center"/>
              <w:rPr>
                <w:rFonts w:ascii="宋体" w:hAnsi="宋体" w:cs="宋体"/>
                <w:sz w:val="24"/>
              </w:rPr>
            </w:pPr>
            <w:r>
              <w:rPr>
                <w:rFonts w:hint="eastAsia" w:ascii="宋体" w:hAnsi="宋体" w:cs="宋体"/>
                <w:sz w:val="24"/>
              </w:rPr>
              <w:t>99.76%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3079" w:type="dxa"/>
            <w:vAlign w:val="center"/>
          </w:tcPr>
          <w:p>
            <w:pPr>
              <w:widowControl/>
              <w:jc w:val="left"/>
              <w:rPr>
                <w:rFonts w:ascii="宋体" w:hAnsi="宋体" w:cs="宋体"/>
                <w:kern w:val="0"/>
                <w:sz w:val="24"/>
              </w:rPr>
            </w:pPr>
            <w:r>
              <w:rPr>
                <w:rFonts w:hint="eastAsia" w:ascii="宋体" w:hAnsi="宋体" w:cs="宋体"/>
                <w:sz w:val="24"/>
              </w:rPr>
              <w:t>租赁费</w:t>
            </w:r>
          </w:p>
        </w:tc>
        <w:tc>
          <w:tcPr>
            <w:tcW w:w="2268" w:type="dxa"/>
            <w:vAlign w:val="center"/>
          </w:tcPr>
          <w:p>
            <w:pPr>
              <w:widowControl/>
              <w:jc w:val="center"/>
              <w:rPr>
                <w:rFonts w:ascii="宋体" w:hAnsi="宋体" w:cs="宋体"/>
                <w:kern w:val="0"/>
                <w:sz w:val="24"/>
              </w:rPr>
            </w:pPr>
            <w:r>
              <w:rPr>
                <w:rFonts w:hint="eastAsia" w:ascii="宋体" w:hAnsi="宋体" w:cs="宋体"/>
                <w:sz w:val="24"/>
              </w:rPr>
              <w:t>400</w:t>
            </w:r>
          </w:p>
        </w:tc>
        <w:tc>
          <w:tcPr>
            <w:tcW w:w="2268" w:type="dxa"/>
            <w:vAlign w:val="center"/>
          </w:tcPr>
          <w:p>
            <w:pPr>
              <w:widowControl/>
              <w:jc w:val="center"/>
              <w:rPr>
                <w:rFonts w:ascii="宋体" w:hAnsi="宋体" w:cs="宋体"/>
                <w:sz w:val="24"/>
              </w:rPr>
            </w:pPr>
            <w:r>
              <w:rPr>
                <w:rFonts w:hint="eastAsia" w:ascii="宋体" w:hAnsi="宋体" w:cs="宋体"/>
                <w:sz w:val="24"/>
              </w:rPr>
              <w:t>-310.1</w:t>
            </w:r>
          </w:p>
        </w:tc>
        <w:tc>
          <w:tcPr>
            <w:tcW w:w="2268" w:type="dxa"/>
            <w:vAlign w:val="center"/>
          </w:tcPr>
          <w:p>
            <w:pPr>
              <w:widowControl/>
              <w:jc w:val="center"/>
              <w:rPr>
                <w:rFonts w:ascii="宋体" w:hAnsi="宋体" w:cs="宋体"/>
                <w:sz w:val="24"/>
              </w:rPr>
            </w:pPr>
            <w:r>
              <w:rPr>
                <w:rFonts w:hint="eastAsia" w:ascii="宋体" w:hAnsi="宋体" w:cs="宋体"/>
                <w:sz w:val="24"/>
              </w:rPr>
              <w:t>89.9</w:t>
            </w:r>
          </w:p>
        </w:tc>
        <w:tc>
          <w:tcPr>
            <w:tcW w:w="2268" w:type="dxa"/>
            <w:vAlign w:val="center"/>
          </w:tcPr>
          <w:p>
            <w:pPr>
              <w:widowControl/>
              <w:jc w:val="center"/>
              <w:rPr>
                <w:rFonts w:ascii="宋体" w:hAnsi="宋体" w:cs="宋体"/>
                <w:sz w:val="24"/>
              </w:rPr>
            </w:pPr>
            <w:r>
              <w:rPr>
                <w:rFonts w:hint="eastAsia" w:ascii="宋体" w:hAnsi="宋体" w:cs="宋体"/>
                <w:sz w:val="24"/>
              </w:rPr>
              <w:t>65.94</w:t>
            </w:r>
          </w:p>
        </w:tc>
        <w:tc>
          <w:tcPr>
            <w:tcW w:w="2268" w:type="dxa"/>
            <w:vAlign w:val="center"/>
          </w:tcPr>
          <w:p>
            <w:pPr>
              <w:widowControl/>
              <w:jc w:val="center"/>
              <w:rPr>
                <w:rFonts w:ascii="宋体" w:hAnsi="宋体" w:cs="宋体"/>
                <w:sz w:val="24"/>
              </w:rPr>
            </w:pPr>
            <w:r>
              <w:rPr>
                <w:rFonts w:hint="eastAsia" w:ascii="宋体" w:hAnsi="宋体" w:cs="宋体"/>
                <w:sz w:val="24"/>
              </w:rPr>
              <w:t>73.35%</w:t>
            </w:r>
          </w:p>
        </w:tc>
      </w:tr>
    </w:tbl>
    <w:p>
      <w:pPr>
        <w:spacing w:line="360" w:lineRule="auto"/>
        <w:ind w:left="600"/>
        <w:rPr>
          <w:rFonts w:ascii="黑体" w:hAnsi="黑体" w:eastAsia="黑体"/>
          <w:sz w:val="30"/>
        </w:rPr>
      </w:pPr>
    </w:p>
    <w:p>
      <w:pPr>
        <w:numPr>
          <w:ilvl w:val="0"/>
          <w:numId w:val="1"/>
        </w:numPr>
        <w:spacing w:line="360" w:lineRule="auto"/>
        <w:ind w:left="600"/>
        <w:rPr>
          <w:rFonts w:ascii="黑体" w:hAnsi="黑体" w:eastAsia="黑体"/>
          <w:sz w:val="30"/>
        </w:rPr>
      </w:pPr>
      <w:r>
        <w:rPr>
          <w:rFonts w:hint="eastAsia" w:ascii="黑体" w:hAnsi="黑体" w:eastAsia="黑体"/>
          <w:sz w:val="30"/>
        </w:rPr>
        <w:t>年度重点任务</w:t>
      </w:r>
    </w:p>
    <w:p>
      <w:pPr>
        <w:spacing w:line="360" w:lineRule="auto"/>
        <w:ind w:left="600"/>
        <w:rPr>
          <w:rFonts w:ascii="黑体" w:hAnsi="黑体" w:eastAsia="黑体"/>
          <w:sz w:val="30"/>
        </w:rPr>
      </w:pPr>
    </w:p>
    <w:tbl>
      <w:tblPr>
        <w:tblStyle w:val="5"/>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9" w:hRule="atLeast"/>
        </w:trPr>
        <w:tc>
          <w:tcPr>
            <w:tcW w:w="3419" w:type="dxa"/>
            <w:shd w:val="clear" w:color="000000" w:fill="BFBFBF"/>
            <w:vAlign w:val="center"/>
          </w:tcPr>
          <w:p>
            <w:pPr>
              <w:widowControl/>
              <w:jc w:val="center"/>
              <w:rPr>
                <w:rFonts w:ascii="宋体" w:hAnsi="宋体" w:cs="宋体"/>
                <w:b/>
                <w:bCs/>
                <w:kern w:val="0"/>
                <w:sz w:val="24"/>
              </w:rPr>
            </w:pPr>
          </w:p>
          <w:p>
            <w:pPr>
              <w:widowControl/>
              <w:jc w:val="center"/>
              <w:rPr>
                <w:rFonts w:ascii="宋体" w:hAnsi="宋体" w:cs="宋体"/>
                <w:b/>
                <w:bCs/>
                <w:kern w:val="0"/>
                <w:sz w:val="24"/>
              </w:rPr>
            </w:pPr>
            <w:r>
              <w:rPr>
                <w:rFonts w:hint="eastAsia" w:ascii="宋体" w:hAnsi="宋体" w:cs="宋体"/>
                <w:b/>
                <w:bCs/>
                <w:kern w:val="0"/>
                <w:sz w:val="24"/>
              </w:rPr>
              <w:t>对应部门主要职责</w:t>
            </w:r>
          </w:p>
          <w:p>
            <w:pPr>
              <w:widowControl/>
              <w:jc w:val="center"/>
              <w:rPr>
                <w:rFonts w:ascii="宋体" w:hAnsi="宋体" w:cs="宋体"/>
                <w:b/>
                <w:bCs/>
                <w:kern w:val="0"/>
                <w:sz w:val="24"/>
              </w:rPr>
            </w:pPr>
          </w:p>
        </w:tc>
        <w:tc>
          <w:tcPr>
            <w:tcW w:w="3818" w:type="dxa"/>
            <w:shd w:val="clear" w:color="000000" w:fill="BFBFBF"/>
            <w:vAlign w:val="center"/>
          </w:tcPr>
          <w:p>
            <w:pPr>
              <w:widowControl/>
              <w:jc w:val="center"/>
              <w:rPr>
                <w:rFonts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pPr>
              <w:widowControl/>
              <w:jc w:val="center"/>
              <w:rPr>
                <w:rFonts w:ascii="宋体" w:hAnsi="宋体" w:cs="宋体"/>
                <w:b/>
                <w:bCs/>
                <w:kern w:val="0"/>
                <w:sz w:val="24"/>
              </w:rPr>
            </w:pPr>
            <w:r>
              <w:rPr>
                <w:rFonts w:hint="eastAsia" w:ascii="宋体" w:hAnsi="宋体" w:cs="宋体"/>
                <w:b/>
                <w:bCs/>
                <w:kern w:val="0"/>
                <w:sz w:val="24"/>
              </w:rPr>
              <w:t>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trPr>
        <w:tc>
          <w:tcPr>
            <w:tcW w:w="3419" w:type="dxa"/>
            <w:vMerge w:val="restart"/>
            <w:vAlign w:val="center"/>
          </w:tcPr>
          <w:p>
            <w:pPr>
              <w:widowControl/>
              <w:jc w:val="center"/>
              <w:rPr>
                <w:rFonts w:ascii="宋体" w:hAnsi="宋体" w:cs="宋体"/>
                <w:kern w:val="0"/>
                <w:sz w:val="24"/>
              </w:rPr>
            </w:pPr>
            <w:r>
              <w:rPr>
                <w:rFonts w:hint="eastAsia" w:ascii="宋体" w:hAnsi="宋体" w:cs="宋体"/>
                <w:sz w:val="24"/>
              </w:rPr>
              <w:t>负责市级机关服务保障工作</w:t>
            </w:r>
          </w:p>
        </w:tc>
        <w:tc>
          <w:tcPr>
            <w:tcW w:w="3818" w:type="dxa"/>
            <w:vAlign w:val="center"/>
          </w:tcPr>
          <w:p>
            <w:pPr>
              <w:widowControl/>
              <w:jc w:val="center"/>
              <w:rPr>
                <w:rFonts w:ascii="宋体" w:hAnsi="宋体" w:cs="宋体"/>
                <w:sz w:val="24"/>
              </w:rPr>
            </w:pPr>
            <w:r>
              <w:rPr>
                <w:rFonts w:hint="eastAsia" w:ascii="宋体" w:hAnsi="宋体" w:cs="宋体"/>
                <w:sz w:val="24"/>
              </w:rPr>
              <w:t>保障四大中心运维</w:t>
            </w:r>
          </w:p>
        </w:tc>
        <w:tc>
          <w:tcPr>
            <w:tcW w:w="6280" w:type="dxa"/>
            <w:vAlign w:val="center"/>
          </w:tcPr>
          <w:p>
            <w:pPr>
              <w:widowControl/>
              <w:jc w:val="center"/>
              <w:rPr>
                <w:rFonts w:ascii="宋体" w:hAnsi="宋体" w:cs="宋体"/>
                <w:sz w:val="24"/>
              </w:rPr>
            </w:pPr>
            <w:r>
              <w:rPr>
                <w:rFonts w:hint="eastAsia" w:ascii="宋体" w:hAnsi="宋体" w:cs="宋体"/>
                <w:sz w:val="24"/>
              </w:rPr>
              <w:t>提升后勤服务质量，保障四大中心集中办公区正常运行。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trPr>
        <w:tc>
          <w:tcPr>
            <w:tcW w:w="3419" w:type="dxa"/>
            <w:vMerge w:val="continue"/>
            <w:vAlign w:val="center"/>
          </w:tcPr>
          <w:p>
            <w:pPr>
              <w:widowControl/>
              <w:jc w:val="center"/>
              <w:rPr>
                <w:rFonts w:ascii="宋体" w:hAnsi="宋体" w:cs="宋体"/>
                <w:kern w:val="0"/>
                <w:sz w:val="24"/>
              </w:rPr>
            </w:pPr>
          </w:p>
        </w:tc>
        <w:tc>
          <w:tcPr>
            <w:tcW w:w="3818" w:type="dxa"/>
            <w:vAlign w:val="center"/>
          </w:tcPr>
          <w:p>
            <w:pPr>
              <w:widowControl/>
              <w:jc w:val="center"/>
              <w:rPr>
                <w:rFonts w:ascii="宋体" w:hAnsi="宋体" w:cs="宋体"/>
                <w:sz w:val="24"/>
              </w:rPr>
            </w:pPr>
            <w:r>
              <w:rPr>
                <w:rFonts w:hint="eastAsia" w:ascii="宋体" w:hAnsi="宋体" w:cs="宋体"/>
                <w:sz w:val="24"/>
              </w:rPr>
              <w:t>保障服务范围内水电通讯蒸汽燃气费用</w:t>
            </w:r>
          </w:p>
        </w:tc>
        <w:tc>
          <w:tcPr>
            <w:tcW w:w="6280" w:type="dxa"/>
            <w:vAlign w:val="center"/>
          </w:tcPr>
          <w:p>
            <w:pPr>
              <w:widowControl/>
              <w:jc w:val="center"/>
              <w:rPr>
                <w:rFonts w:ascii="宋体" w:hAnsi="宋体" w:cs="宋体"/>
                <w:sz w:val="24"/>
              </w:rPr>
            </w:pPr>
            <w:r>
              <w:rPr>
                <w:rFonts w:hint="eastAsia" w:ascii="宋体" w:hAnsi="宋体" w:cs="宋体"/>
                <w:sz w:val="24"/>
              </w:rPr>
              <w:t>保障服务范围内水电通讯蒸汽燃气费等正常使用。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trPr>
        <w:tc>
          <w:tcPr>
            <w:tcW w:w="3419" w:type="dxa"/>
            <w:vMerge w:val="continue"/>
            <w:vAlign w:val="center"/>
          </w:tcPr>
          <w:p>
            <w:pPr>
              <w:widowControl/>
              <w:jc w:val="center"/>
              <w:rPr>
                <w:rFonts w:ascii="宋体" w:hAnsi="宋体" w:cs="宋体"/>
                <w:kern w:val="0"/>
                <w:sz w:val="24"/>
              </w:rPr>
            </w:pPr>
          </w:p>
        </w:tc>
        <w:tc>
          <w:tcPr>
            <w:tcW w:w="3818" w:type="dxa"/>
            <w:vAlign w:val="center"/>
          </w:tcPr>
          <w:p>
            <w:pPr>
              <w:widowControl/>
              <w:jc w:val="center"/>
              <w:rPr>
                <w:rFonts w:ascii="宋体" w:hAnsi="宋体" w:cs="宋体"/>
                <w:sz w:val="24"/>
              </w:rPr>
            </w:pPr>
            <w:r>
              <w:rPr>
                <w:rFonts w:hint="eastAsia" w:ascii="宋体" w:hAnsi="宋体" w:cs="宋体"/>
                <w:sz w:val="24"/>
              </w:rPr>
              <w:t>完成设施设备等维护保养工作</w:t>
            </w:r>
          </w:p>
        </w:tc>
        <w:tc>
          <w:tcPr>
            <w:tcW w:w="6280" w:type="dxa"/>
            <w:vAlign w:val="center"/>
          </w:tcPr>
          <w:p>
            <w:pPr>
              <w:widowControl/>
              <w:jc w:val="center"/>
              <w:rPr>
                <w:rFonts w:ascii="宋体" w:hAnsi="宋体" w:cs="宋体"/>
                <w:sz w:val="24"/>
              </w:rPr>
            </w:pPr>
            <w:r>
              <w:rPr>
                <w:rFonts w:hint="eastAsia" w:ascii="宋体" w:hAnsi="宋体" w:cs="宋体"/>
                <w:sz w:val="24"/>
              </w:rPr>
              <w:t>及时完成设施设备的日常维修，及时处理报修工单，维修及时性和验收合格率得到有效提升。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trPr>
        <w:tc>
          <w:tcPr>
            <w:tcW w:w="3419" w:type="dxa"/>
            <w:vMerge w:val="continue"/>
            <w:vAlign w:val="center"/>
          </w:tcPr>
          <w:p>
            <w:pPr>
              <w:widowControl/>
              <w:jc w:val="center"/>
              <w:rPr>
                <w:rFonts w:ascii="宋体" w:hAnsi="宋体" w:cs="宋体"/>
                <w:kern w:val="0"/>
                <w:sz w:val="24"/>
              </w:rPr>
            </w:pPr>
          </w:p>
        </w:tc>
        <w:tc>
          <w:tcPr>
            <w:tcW w:w="3818" w:type="dxa"/>
            <w:vAlign w:val="center"/>
          </w:tcPr>
          <w:p>
            <w:pPr>
              <w:widowControl/>
              <w:jc w:val="center"/>
              <w:rPr>
                <w:rFonts w:ascii="宋体" w:hAnsi="宋体" w:cs="宋体"/>
                <w:sz w:val="24"/>
              </w:rPr>
            </w:pPr>
            <w:r>
              <w:rPr>
                <w:rFonts w:hint="eastAsia" w:ascii="宋体" w:hAnsi="宋体" w:cs="宋体"/>
                <w:sz w:val="24"/>
              </w:rPr>
              <w:t>保障办公区域正常有序运转</w:t>
            </w:r>
          </w:p>
        </w:tc>
        <w:tc>
          <w:tcPr>
            <w:tcW w:w="6280" w:type="dxa"/>
            <w:vAlign w:val="center"/>
          </w:tcPr>
          <w:p>
            <w:pPr>
              <w:widowControl/>
              <w:jc w:val="center"/>
              <w:rPr>
                <w:rFonts w:ascii="宋体" w:hAnsi="宋体" w:cs="宋体"/>
                <w:sz w:val="24"/>
              </w:rPr>
            </w:pPr>
            <w:r>
              <w:rPr>
                <w:rFonts w:hint="eastAsia" w:ascii="宋体" w:hAnsi="宋体" w:cs="宋体"/>
                <w:sz w:val="24"/>
              </w:rPr>
              <w:t>提升后勤服务质量，改进工作品质，提供优质的后勤服务保障。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trPr>
        <w:tc>
          <w:tcPr>
            <w:tcW w:w="3419" w:type="dxa"/>
            <w:vMerge w:val="continue"/>
            <w:vAlign w:val="center"/>
          </w:tcPr>
          <w:p>
            <w:pPr>
              <w:widowControl/>
              <w:jc w:val="center"/>
              <w:rPr>
                <w:rFonts w:ascii="宋体" w:hAnsi="宋体" w:cs="宋体"/>
                <w:kern w:val="0"/>
                <w:sz w:val="24"/>
              </w:rPr>
            </w:pPr>
          </w:p>
        </w:tc>
        <w:tc>
          <w:tcPr>
            <w:tcW w:w="3818" w:type="dxa"/>
            <w:vAlign w:val="center"/>
          </w:tcPr>
          <w:p>
            <w:pPr>
              <w:widowControl/>
              <w:jc w:val="center"/>
              <w:rPr>
                <w:rFonts w:ascii="宋体" w:hAnsi="宋体" w:cs="宋体"/>
                <w:sz w:val="24"/>
              </w:rPr>
            </w:pPr>
            <w:r>
              <w:rPr>
                <w:rFonts w:hint="eastAsia" w:ascii="宋体" w:hAnsi="宋体" w:cs="宋体"/>
                <w:sz w:val="24"/>
              </w:rPr>
              <w:t>保障干将路1038号运维</w:t>
            </w:r>
          </w:p>
        </w:tc>
        <w:tc>
          <w:tcPr>
            <w:tcW w:w="6280" w:type="dxa"/>
            <w:vAlign w:val="center"/>
          </w:tcPr>
          <w:p>
            <w:pPr>
              <w:widowControl/>
              <w:jc w:val="center"/>
              <w:rPr>
                <w:rFonts w:ascii="宋体" w:hAnsi="宋体" w:cs="宋体"/>
                <w:sz w:val="24"/>
              </w:rPr>
            </w:pPr>
            <w:r>
              <w:rPr>
                <w:rFonts w:hint="eastAsia" w:ascii="宋体" w:hAnsi="宋体" w:cs="宋体"/>
                <w:sz w:val="24"/>
              </w:rPr>
              <w:t>提升后勤服务质量，保障干将路1038号集中办公区正常运行。</w:t>
            </w:r>
          </w:p>
        </w:tc>
      </w:tr>
    </w:tbl>
    <w:p>
      <w:pPr>
        <w:spacing w:line="360" w:lineRule="auto"/>
        <w:ind w:left="600"/>
        <w:rPr>
          <w:rFonts w:ascii="黑体" w:hAnsi="黑体" w:eastAsia="黑体"/>
          <w:sz w:val="30"/>
        </w:rPr>
      </w:pPr>
    </w:p>
    <w:p>
      <w:pPr>
        <w:spacing w:line="360" w:lineRule="auto"/>
        <w:ind w:left="600"/>
        <w:rPr>
          <w:rFonts w:ascii="黑体" w:hAnsi="黑体" w:eastAsia="黑体"/>
          <w:sz w:val="30"/>
        </w:rPr>
      </w:pPr>
    </w:p>
    <w:p>
      <w:pPr>
        <w:numPr>
          <w:ilvl w:val="0"/>
          <w:numId w:val="1"/>
        </w:numPr>
        <w:spacing w:line="360" w:lineRule="auto"/>
        <w:ind w:left="600"/>
        <w:rPr>
          <w:rFonts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1656"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51"/>
        <w:gridCol w:w="2061"/>
        <w:gridCol w:w="1987"/>
        <w:gridCol w:w="1799"/>
        <w:gridCol w:w="1866"/>
        <w:gridCol w:w="1787"/>
        <w:gridCol w:w="1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9" w:hRule="atLeast"/>
        </w:trPr>
        <w:tc>
          <w:tcPr>
            <w:tcW w:w="2067" w:type="dxa"/>
            <w:shd w:val="clear" w:color="000000" w:fill="BFBFBF"/>
            <w:vAlign w:val="center"/>
          </w:tcPr>
          <w:p>
            <w:pPr>
              <w:widowControl/>
              <w:jc w:val="center"/>
              <w:rPr>
                <w:rFonts w:ascii="宋体" w:hAnsi="宋体" w:cs="宋体"/>
                <w:b/>
                <w:bCs/>
                <w:kern w:val="0"/>
                <w:sz w:val="24"/>
              </w:rPr>
            </w:pPr>
          </w:p>
        </w:tc>
        <w:tc>
          <w:tcPr>
            <w:tcW w:w="2051" w:type="dxa"/>
            <w:shd w:val="clear" w:color="000000" w:fill="BFBFBF"/>
            <w:vAlign w:val="center"/>
          </w:tcPr>
          <w:p>
            <w:pPr>
              <w:widowControl/>
              <w:jc w:val="center"/>
              <w:rPr>
                <w:rFonts w:ascii="宋体" w:hAnsi="宋体" w:cs="宋体"/>
                <w:b/>
                <w:bCs/>
                <w:kern w:val="0"/>
                <w:sz w:val="24"/>
              </w:rPr>
            </w:pPr>
            <w:r>
              <w:rPr>
                <w:rFonts w:hint="eastAsia" w:ascii="宋体" w:hAnsi="宋体" w:cs="宋体"/>
                <w:b/>
                <w:bCs/>
                <w:sz w:val="24"/>
              </w:rPr>
              <w:t>类别</w:t>
            </w:r>
          </w:p>
        </w:tc>
        <w:tc>
          <w:tcPr>
            <w:tcW w:w="2061" w:type="dxa"/>
            <w:shd w:val="clear" w:color="000000" w:fill="BFBFBF"/>
            <w:vAlign w:val="center"/>
          </w:tcPr>
          <w:p>
            <w:pPr>
              <w:widowControl/>
              <w:jc w:val="center"/>
              <w:rPr>
                <w:rFonts w:ascii="宋体" w:hAnsi="宋体" w:cs="宋体"/>
                <w:b/>
                <w:bCs/>
                <w:kern w:val="0"/>
                <w:sz w:val="24"/>
              </w:rPr>
            </w:pPr>
            <w:r>
              <w:rPr>
                <w:rFonts w:hint="eastAsia" w:ascii="宋体" w:hAnsi="宋体" w:cs="宋体"/>
                <w:b/>
                <w:bCs/>
                <w:sz w:val="24"/>
              </w:rPr>
              <w:t>指标名称</w:t>
            </w:r>
          </w:p>
        </w:tc>
        <w:tc>
          <w:tcPr>
            <w:tcW w:w="1987" w:type="dxa"/>
            <w:shd w:val="clear" w:color="000000" w:fill="BFBFBF"/>
            <w:vAlign w:val="center"/>
          </w:tcPr>
          <w:p>
            <w:pPr>
              <w:widowControl/>
              <w:jc w:val="center"/>
              <w:rPr>
                <w:rFonts w:ascii="宋体" w:hAnsi="宋体" w:cs="宋体"/>
                <w:b/>
                <w:bCs/>
                <w:kern w:val="0"/>
                <w:sz w:val="24"/>
              </w:rPr>
            </w:pPr>
            <w:r>
              <w:rPr>
                <w:rFonts w:hint="eastAsia" w:ascii="宋体" w:hAnsi="宋体" w:cs="宋体"/>
                <w:b/>
                <w:bCs/>
                <w:sz w:val="24"/>
              </w:rPr>
              <w:t>指标目标值</w:t>
            </w:r>
          </w:p>
        </w:tc>
        <w:tc>
          <w:tcPr>
            <w:tcW w:w="1799" w:type="dxa"/>
            <w:shd w:val="clear" w:color="000000" w:fill="BFBFBF"/>
            <w:vAlign w:val="center"/>
          </w:tcPr>
          <w:p>
            <w:pPr>
              <w:widowControl/>
              <w:jc w:val="center"/>
              <w:rPr>
                <w:rFonts w:ascii="宋体" w:hAnsi="宋体" w:cs="宋体"/>
                <w:b/>
                <w:bCs/>
                <w:kern w:val="0"/>
                <w:sz w:val="24"/>
              </w:rPr>
            </w:pPr>
            <w:r>
              <w:rPr>
                <w:rFonts w:hint="eastAsia" w:ascii="宋体" w:hAnsi="宋体" w:cs="宋体"/>
                <w:b/>
                <w:bCs/>
                <w:sz w:val="24"/>
              </w:rPr>
              <w:t>指标完成值</w:t>
            </w:r>
          </w:p>
        </w:tc>
        <w:tc>
          <w:tcPr>
            <w:tcW w:w="1866" w:type="dxa"/>
            <w:shd w:val="clear" w:color="000000" w:fill="BFBFBF"/>
            <w:vAlign w:val="center"/>
          </w:tcPr>
          <w:p>
            <w:pPr>
              <w:widowControl/>
              <w:jc w:val="center"/>
              <w:rPr>
                <w:rFonts w:ascii="宋体" w:hAnsi="宋体" w:cs="宋体"/>
                <w:b/>
                <w:bCs/>
                <w:kern w:val="0"/>
                <w:sz w:val="24"/>
              </w:rPr>
            </w:pPr>
            <w:r>
              <w:rPr>
                <w:rFonts w:hint="eastAsia" w:ascii="宋体" w:hAnsi="宋体" w:cs="宋体"/>
                <w:b/>
                <w:bCs/>
                <w:sz w:val="24"/>
              </w:rPr>
              <w:t>完成值来源</w:t>
            </w:r>
          </w:p>
        </w:tc>
        <w:tc>
          <w:tcPr>
            <w:tcW w:w="1787" w:type="dxa"/>
            <w:shd w:val="clear" w:color="000000" w:fill="BFBFBF"/>
            <w:vAlign w:val="center"/>
          </w:tcPr>
          <w:p>
            <w:pPr>
              <w:widowControl/>
              <w:jc w:val="center"/>
              <w:rPr>
                <w:rFonts w:ascii="宋体" w:hAnsi="宋体" w:cs="宋体"/>
                <w:b/>
                <w:bCs/>
                <w:sz w:val="24"/>
              </w:rPr>
            </w:pPr>
            <w:r>
              <w:rPr>
                <w:rFonts w:hint="eastAsia" w:ascii="宋体" w:hAnsi="宋体" w:cs="宋体"/>
                <w:b/>
                <w:bCs/>
                <w:sz w:val="24"/>
              </w:rPr>
              <w:t>偏差情况</w:t>
            </w:r>
          </w:p>
        </w:tc>
        <w:tc>
          <w:tcPr>
            <w:tcW w:w="1071" w:type="dxa"/>
            <w:shd w:val="clear" w:color="000000" w:fill="BFBFBF"/>
          </w:tcPr>
          <w:p>
            <w:pPr>
              <w:widowControl/>
              <w:jc w:val="center"/>
              <w:rPr>
                <w:rFonts w:ascii="黑体" w:hAnsi="黑体" w:eastAsia="黑体"/>
                <w:sz w:val="30"/>
              </w:rPr>
            </w:pPr>
            <w:r>
              <w:rPr>
                <w:rFonts w:hint="eastAsia" w:ascii="宋体" w:hAnsi="宋体" w:cs="宋体"/>
                <w:b/>
                <w:bCs/>
                <w:sz w:val="24"/>
              </w:rPr>
              <w:t>原因分析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restart"/>
            <w:vAlign w:val="center"/>
          </w:tcPr>
          <w:p>
            <w:pPr>
              <w:spacing w:line="360" w:lineRule="auto"/>
              <w:jc w:val="center"/>
              <w:rPr>
                <w:rFonts w:ascii="宋体" w:hAnsi="宋体" w:cs="宋体"/>
                <w:kern w:val="0"/>
                <w:sz w:val="24"/>
              </w:rPr>
            </w:pPr>
            <w:r>
              <w:rPr>
                <w:rFonts w:hint="eastAsia" w:ascii="宋体" w:hAnsi="宋体" w:cs="宋体"/>
                <w:sz w:val="24"/>
              </w:rPr>
              <w:t>分解目标</w:t>
            </w:r>
          </w:p>
        </w:tc>
        <w:tc>
          <w:tcPr>
            <w:tcW w:w="2051" w:type="dxa"/>
            <w:vMerge w:val="restart"/>
            <w:vAlign w:val="center"/>
          </w:tcPr>
          <w:p>
            <w:pPr>
              <w:spacing w:line="360" w:lineRule="auto"/>
              <w:jc w:val="center"/>
              <w:rPr>
                <w:rFonts w:ascii="宋体" w:hAnsi="宋体" w:cs="宋体"/>
                <w:kern w:val="0"/>
                <w:sz w:val="24"/>
              </w:rPr>
            </w:pPr>
            <w:r>
              <w:rPr>
                <w:rFonts w:hint="eastAsia" w:ascii="宋体" w:hAnsi="宋体" w:cs="宋体"/>
                <w:sz w:val="24"/>
              </w:rPr>
              <w:t>决策</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工作计划制定健全性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绩效目标合理性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绩效指标明确性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预算编制科学性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restart"/>
            <w:vAlign w:val="center"/>
          </w:tcPr>
          <w:p>
            <w:pPr>
              <w:spacing w:line="360" w:lineRule="auto"/>
              <w:jc w:val="center"/>
              <w:rPr>
                <w:rFonts w:ascii="宋体" w:hAnsi="宋体" w:cs="宋体"/>
                <w:kern w:val="0"/>
                <w:sz w:val="24"/>
              </w:rPr>
            </w:pPr>
            <w:r>
              <w:rPr>
                <w:rFonts w:hint="eastAsia" w:ascii="宋体" w:hAnsi="宋体" w:cs="宋体"/>
                <w:sz w:val="24"/>
              </w:rPr>
              <w:t>过程</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预决算信息公开度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基础信息完善性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非税收入管理合规性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绩效管理覆盖率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资金使用合规性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固定资产利用率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在职人员控制率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纪检监察工作有效性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99.55%</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-0.45%</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预算调整率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52.27%</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市级党政机关物业服务费预算统一列入市市级机关物业管理中心预算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“三公经费”变动率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预算偏差率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52.27%</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422.70%</w:t>
            </w:r>
          </w:p>
        </w:tc>
        <w:tc>
          <w:tcPr>
            <w:tcW w:w="1071" w:type="dxa"/>
          </w:tcPr>
          <w:p>
            <w:pPr>
              <w:spacing w:line="360" w:lineRule="auto"/>
              <w:rPr>
                <w:rFonts w:ascii="宋体" w:hAnsi="宋体" w:cs="宋体"/>
                <w:kern w:val="0"/>
                <w:sz w:val="22"/>
              </w:rPr>
            </w:pPr>
            <w:r>
              <w:rPr>
                <w:rFonts w:hint="eastAsia" w:ascii="宋体" w:hAnsi="宋体" w:cs="宋体"/>
                <w:sz w:val="24"/>
              </w:rPr>
              <w:t>市级党政机关物业服务费预算统一列入市市级机关物业管理中心预算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支付进度符合率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99.55%</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-0.45%</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结转结余率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政府采购执行率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非税收入预算完成率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公用经费控制率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restart"/>
            <w:vAlign w:val="center"/>
          </w:tcPr>
          <w:p>
            <w:pPr>
              <w:spacing w:line="360" w:lineRule="auto"/>
              <w:jc w:val="center"/>
              <w:rPr>
                <w:rFonts w:ascii="宋体" w:hAnsi="宋体" w:cs="宋体"/>
                <w:kern w:val="0"/>
                <w:sz w:val="24"/>
              </w:rPr>
            </w:pPr>
            <w:r>
              <w:rPr>
                <w:rFonts w:hint="eastAsia" w:ascii="宋体" w:hAnsi="宋体" w:cs="宋体"/>
                <w:sz w:val="24"/>
              </w:rPr>
              <w:t>效益</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对保障范围内办公环境的改善或提升程度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改善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改善</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对单位履职提升程度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明显</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明显</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Align w:val="center"/>
          </w:tcPr>
          <w:p>
            <w:pPr>
              <w:spacing w:line="360" w:lineRule="auto"/>
              <w:jc w:val="center"/>
              <w:rPr>
                <w:rFonts w:ascii="宋体" w:hAnsi="宋体" w:cs="宋体"/>
                <w:kern w:val="0"/>
                <w:sz w:val="24"/>
              </w:rPr>
            </w:pPr>
            <w:r>
              <w:rPr>
                <w:rFonts w:hint="eastAsia" w:ascii="宋体" w:hAnsi="宋体" w:cs="宋体"/>
                <w:sz w:val="24"/>
              </w:rPr>
              <w:t>满意度</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服务对象满意度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&gt;=98%</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98%</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restart"/>
            <w:vAlign w:val="center"/>
          </w:tcPr>
          <w:p>
            <w:pPr>
              <w:spacing w:line="360" w:lineRule="auto"/>
              <w:jc w:val="center"/>
              <w:rPr>
                <w:rFonts w:ascii="宋体" w:hAnsi="宋体" w:cs="宋体"/>
                <w:kern w:val="0"/>
                <w:sz w:val="24"/>
              </w:rPr>
            </w:pPr>
            <w:r>
              <w:rPr>
                <w:rFonts w:hint="eastAsia" w:ascii="宋体" w:hAnsi="宋体" w:cs="宋体"/>
                <w:sz w:val="24"/>
              </w:rPr>
              <w:t>履职</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物业服务完成及时性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及时</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及时</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物业服务保障面积</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=1.52万平方米</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1.52万平方米</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干将路1038号集中办公区物业服务保障面积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公共设施设备维护保养完好率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&gt;=95%</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95%</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物业服务面积</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=7.7万平方米</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75万平方米</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874.03%</w:t>
            </w:r>
          </w:p>
        </w:tc>
        <w:tc>
          <w:tcPr>
            <w:tcW w:w="1071" w:type="dxa"/>
          </w:tcPr>
          <w:p>
            <w:pPr>
              <w:spacing w:line="360" w:lineRule="auto"/>
              <w:rPr>
                <w:rFonts w:ascii="宋体" w:hAnsi="宋体" w:cs="宋体"/>
                <w:kern w:val="0"/>
                <w:sz w:val="22"/>
              </w:rPr>
            </w:pPr>
            <w:r>
              <w:rPr>
                <w:rFonts w:hint="eastAsia" w:ascii="宋体" w:hAnsi="宋体" w:cs="宋体"/>
                <w:sz w:val="24"/>
              </w:rPr>
              <w:t>市级党政机关物业服务费预算统一列入市市级机关物业管理中心预算。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2067" w:type="dxa"/>
            <w:vMerge w:val="continue"/>
            <w:vAlign w:val="center"/>
          </w:tcPr>
          <w:p>
            <w:pPr>
              <w:spacing w:line="360" w:lineRule="auto"/>
              <w:jc w:val="center"/>
              <w:rPr>
                <w:rFonts w:ascii="宋体" w:hAnsi="宋体" w:cs="宋体"/>
                <w:kern w:val="0"/>
                <w:sz w:val="24"/>
              </w:rPr>
            </w:pPr>
          </w:p>
        </w:tc>
        <w:tc>
          <w:tcPr>
            <w:tcW w:w="2051" w:type="dxa"/>
            <w:vMerge w:val="continue"/>
            <w:vAlign w:val="center"/>
          </w:tcPr>
          <w:p>
            <w:pPr>
              <w:spacing w:line="360" w:lineRule="auto"/>
              <w:jc w:val="center"/>
              <w:rPr>
                <w:rFonts w:ascii="宋体" w:hAnsi="宋体" w:cs="宋体"/>
                <w:kern w:val="0"/>
                <w:sz w:val="24"/>
              </w:rPr>
            </w:pP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水电通讯费等保障情况</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及时</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及时</w:t>
            </w:r>
          </w:p>
        </w:tc>
        <w:tc>
          <w:tcPr>
            <w:tcW w:w="1866" w:type="dxa"/>
            <w:vAlign w:val="center"/>
          </w:tcPr>
          <w:p>
            <w:pPr>
              <w:spacing w:line="360" w:lineRule="auto"/>
              <w:jc w:val="center"/>
              <w:rPr>
                <w:rFonts w:ascii="宋体" w:hAnsi="宋体" w:cs="宋体"/>
                <w:kern w:val="0"/>
                <w:sz w:val="24"/>
              </w:rPr>
            </w:pP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p>
        </w:tc>
      </w:tr>
    </w:tbl>
    <w:p>
      <w:pPr>
        <w:spacing w:line="360" w:lineRule="auto"/>
        <w:ind w:left="600"/>
        <w:rPr>
          <w:rFonts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end"/>
    </w:r>
  </w:p>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7BB9F1"/>
    <w:multiLevelType w:val="singleLevel"/>
    <w:tmpl w:val="5D7BB9F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4E7B4170"/>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 w:val="7C2E50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czj</Company>
  <Pages>3</Pages>
  <Words>270</Words>
  <Characters>780</Characters>
  <Lines>6</Lines>
  <Paragraphs>1</Paragraphs>
  <TotalTime>5</TotalTime>
  <ScaleCrop>false</ScaleCrop>
  <LinksUpToDate>false</LinksUpToDate>
  <CharactersWithSpaces>780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2020-12-31T06:58:00Z</dcterms:created>
  <dc:creator>傅海英</dc:creator>
  <cp:lastModifiedBy>Administrator</cp:lastModifiedBy>
  <cp:lastPrinted>2019-06-21T02:10:00Z</cp:lastPrinted>
  <dcterms:modified xsi:type="dcterms:W3CDTF">2026-09-11T09:16:24Z</dcterms:modified>
  <dc:title>关于进行本市部门整体支出</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739EEDB2ECE141DEAF0C3D87D58590AD_13</vt:lpwstr>
  </property>
  <property fmtid="{D5CDD505-2E9C-101B-9397-08002B2CF9AE}" pid="4" name="KSOTemplateDocerSaveRecord">
    <vt:lpwstr>eyJoZGlkIjoiMmVmMTQ4NTZkNTIwMmU5ZDBhYTZhYjI1NWVjNGI1Y2IiLCJ1c2VySWQiOiIyMjg1MzQ1OTUifQ==</vt:lpwstr>
  </property>
</Properties>
</file>