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专项委托业务费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苏州市机关事务管理局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132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131.97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.03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0.03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131.97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131.97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131.97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法律顾问费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资产管理经费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122.97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法律咨询事项完成率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实体公物仓面积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=1000平方米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1000平方米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不动产证办证数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&gt;60件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180件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测绘准确性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市级机关单位利用公物仓率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&gt;=85%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顾问任务达标率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工作完成及时性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通过公物仓调配节约增效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节约经费增加效能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全年完成资产调拨借用2429件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对保障机关正常运转的持续影响程度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合同订立合法性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合法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合法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中期目标：集中盘点，按照“节约、必要”的原则对仓内现有物品、仓体本身（如破损地板、墙体、门窗等）进行修复，争取物尽其用；规范处置，以捐赠或报废的方式集中处置一批无价值的家具或设备；分门别类，明确将仓内按物品种类分区、分类存放管理，利用好当前1大仓+17小仓的空间，有序存放桌椅、沙发、茶几、橱柜等办公家具以及电脑、笔记本、打印机、饮水机等办公设备；合理布局，留出合理过渡空间、修复空间、搬运空间等，接收时要注重资产的实用性、存放时要考虑搬离的便捷性、调出时要确保登记的准确性，同时利用好楼道、电梯、走廊、墙面等张贴标识和规章制度等，积极营造“颗粒归仓”“物尽其用”等勤俭节约文化氛围。远期目标：在一体化、常态化、标准化上下功夫、做文章，努力打造努力打造公物仓建设管理“苏州样本”，力争以更高水平保障党政机关高效运转，更大力度推进节约型机关建设，更优质服务全市高质量发展。一体化，持续优化政府公物仓建设，坚持实体仓示范带动、虚拟仓链接覆盖，加快各部门、各版块公物仓对接互通，真正推动省、市、区三级闲置资产实现互联互通、共享共用。常态化，持续强化公物仓资产管理，分门别类梳理仓内资产管理台账，做到“家底”心中有数，提升仓内资产管理效能，优化资产供给服务体验。精细化，持续完善公物仓管理机制，细化明确资产入仓验收管理、出仓管理、在仓物资管理、维修再利用管理、物流运输管理、安全卫生管理、盘点等操作流程，促进公物仓运行更加规范化、标准化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中期目标：集中盘点，按照“节约、必要”的原则对仓内现有物品、仓体本身（如破损地板、墙体、门窗等）进行修复，争取物尽其用；规范处置，以捐赠或报废的方式集中处置一批无价值的家具或设备；分门别类，明确将仓内按物品种类分区、分类存放管理，利用好当前1大仓+17小仓的空间，有序存放桌椅、沙发、茶几、橱柜等办公家具以及电脑、笔记本、打印机、饮水机等办公设备；合理布局，留出合理过渡空间、修复空间、搬运空间等，接收时要注重资产的实用性、存放时要考虑搬离的便捷性、调出时要确保登记的准确性，同时利用好楼道、电梯、走廊、墙面等张贴标识和规章制度等，积极营造“颗粒归仓”“物尽其用”等勤俭节约文化氛围。远期目标：在一体化、常态化、标准化上下功夫、做文章，努力打造努力打造公物仓建设管理“苏州样本”，力争以更高水平保障党政机关高效运转，更大力度推进节约型机关建设，更优质服务全市高质量发展。一体化，持续优化政府公物仓建设，坚持实体仓示范带动、虚拟仓链接覆盖，加快各部门、各版块公物仓对接互通，真正推动省、市、区三级闲置资产实现互联互通、共享共用。常态化，持续强化公物仓资产管理，分门别类梳理仓内资产管理台账，做到“家底”心中有数，提升仓内资产管理效能，优化资产供给服务体验。精细化，持续完善公物仓管理机制，细化明确资产入仓验收管理、出仓管理、在仓物资管理、维修再利用管理、物流运输管理、安全卫生管理、盘点等操作流程，促进公物仓运行更加规范化、标准化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公物仓持续强化资产管理，分门别类梳理仓内资产管理台账，做到“家底”心中有数，提升仓内资产管理效能，优化资产供给服务体验。精细化，持续完善公物仓管理机制，细化明确资产入仓验收管理、出仓管理、在仓物资管理、维修再利用管理、物流运输管理、安全卫生管理、盘点等操作流程，促进公物仓运行更加规范化、标准化。年度权属办理远超预期数。经营性房产租赁平稳推进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公物仓持续强化资产管理，分门别类梳理仓内资产管理台账，做到“家底”心中有数，提升仓内资产管理效能，优化资产供给服务体验。精细化，持续完善公物仓管理机制，细化明确资产入仓验收管理、出仓管理、在仓物资管理、维修再利用管理、物流运输管理、安全卫生管理、盘点等操作流程，促进公物仓运行更加规范化、标准化。年度权属办理远超预期数，年终共办理318件，远超预期65件。经营性房产租赁平稳推进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权属办理数量难以预估，经营性房产全年变动较大，预期预算数额与最终金额差额较大。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暂无。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