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日常维修维护费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苏州市市级机关物业管理中心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330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330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330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318.17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11.83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11.83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318.17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维修（护）费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330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318.17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96.42%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6.57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完成报修的数量比例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对保障各项业务工作开展的改善程度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70.57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后勤服务范围内日常维修维护等经费。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做好后勤服务范围内的各项日常维修维护。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做好后勤服务范围内的各项日常维修维护。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及时完成设施设备的日常维修，及时处理报修工单。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维修处理及时性提高，维修效率增强，加强日常巡查工作，第一时间发现、分析、处理、反馈问题，完善设备设施，消除安全隐患。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绩效指标编制量化程度不高，绩效目标编制仍需加强。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