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物业管理费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苏州市机关事务管理局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602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-602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602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生态环境局物业费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79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便民服务中心物业费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人才公寓物业费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453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生态局物业服务面积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=2794.94平方米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2794.94平方米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便民服务中心物业服务面积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=1700平方米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1700平方米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物业经费支出合规性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任务完成及时性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对生态局办公环境改善或提升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改善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改善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对便民服务中心稳定运转的改善或提升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提升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提升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对政务服务便民热线业务用房、人才公寓、生态局的物业管理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对政务服务便民热线业务用房、人才公寓、生态局的物业管理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对政务服务便民热线业务用房、人才公寓、生态局的物业管理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根据市政府工作部署，2025年实施市级党政机关物业服务集中统一管理，该项目预算由局本级划转至市级机关物业管理中心，由市级机关物业管理中心负责具体实施。经与市级机关物业管理中心核实，截至2025年底，该项目预算602万元已经支付完毕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该项目预算由局本级划转至市级机关物业管理中心。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该项目预算由局本级划转至市级机关物业管理中心。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