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
<Relationship Id="rId1" Target="docProps/app.xml" Type="http://schemas.openxmlformats.org/officeDocument/2006/relationships/extended-properties"/>
<Relationship Id="rId2" Target="docProps/core.xml" Type="http://schemas.openxmlformats.org/package/2006/relationships/metadata/core-properties"/>
<Relationship Id="rId3" Target="docProps/custom.xml" Type="http://schemas.openxmlformats.org/officeDocument/2006/relationships/custom-properties"/>
<Relationship Id="rId4" Target="word/document.xml" Type="http://schemas.openxmlformats.org/officeDocument/2006/relationships/officeDocument"/>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C180C9"/>
    <w:p w14:paraId="22B24780"/>
    <w:p w14:paraId="24588E54"/>
    <w:tbl>
      <w:tblPr>
        <w:tblStyle w:val="5"/>
        <w:tblW w:w="8501" w:type="dxa"/>
        <w:tblInd w:w="-142" w:type="dxa"/>
        <w:tblLayout w:type="fixed"/>
        <w:tblCellMar>
          <w:top w:w="0" w:type="dxa"/>
          <w:left w:w="0" w:type="dxa"/>
          <w:bottom w:w="0" w:type="dxa"/>
          <w:right w:w="0" w:type="dxa"/>
        </w:tblCellMar>
      </w:tblPr>
      <w:tblGrid>
        <w:gridCol w:w="852"/>
        <w:gridCol w:w="366"/>
        <w:gridCol w:w="604"/>
        <w:gridCol w:w="612"/>
        <w:gridCol w:w="77"/>
        <w:gridCol w:w="831"/>
        <w:gridCol w:w="305"/>
        <w:gridCol w:w="475"/>
        <w:gridCol w:w="738"/>
        <w:gridCol w:w="422"/>
        <w:gridCol w:w="177"/>
        <w:gridCol w:w="614"/>
        <w:gridCol w:w="723"/>
        <w:gridCol w:w="490"/>
        <w:gridCol w:w="1215"/>
      </w:tblGrid>
      <w:tr w14:paraId="2BB36A79">
        <w:tblPrEx>
          <w:tblCellMar>
            <w:top w:w="0" w:type="dxa"/>
            <w:left w:w="0" w:type="dxa"/>
            <w:bottom w:w="0" w:type="dxa"/>
            <w:right w:w="0" w:type="dxa"/>
          </w:tblCellMar>
        </w:tblPrEx>
        <w:trPr>
          <w:trHeight w:val="535" w:hRule="atLeast"/>
        </w:trPr>
        <w:tc>
          <w:tcPr>
            <w:tcW w:w="8501" w:type="dxa"/>
            <w:gridSpan w:val="15"/>
            <w:tcBorders>
              <w:top w:val="nil"/>
              <w:left w:val="nil"/>
              <w:bottom w:val="single" w:color="auto" w:sz="4" w:space="0"/>
              <w:right w:val="nil"/>
            </w:tcBorders>
            <w:shd w:val="clear" w:color="auto" w:fill="auto"/>
            <w:noWrap/>
            <w:tcMar>
              <w:top w:w="15" w:type="dxa"/>
              <w:left w:w="15" w:type="dxa"/>
              <w:bottom w:w="0" w:type="dxa"/>
              <w:right w:w="15" w:type="dxa"/>
            </w:tcMar>
          </w:tcPr>
          <w:p w14:paraId="1502F556">
            <w:pPr>
              <w:jc w:val="center"/>
              <w:rPr>
                <w:rFonts w:cs="Arial"/>
                <w:b/>
                <w:bCs/>
                <w:color w:val="000000"/>
                <w:sz w:val="40"/>
                <w:szCs w:val="40"/>
              </w:rPr>
            </w:pPr>
            <w:r>
              <w:rPr>
                <w:rFonts w:hint="eastAsia" w:cs="Arial"/>
                <w:b/>
                <w:bCs/>
                <w:color w:val="000000"/>
                <w:sz w:val="40"/>
                <w:szCs w:val="40"/>
              </w:rPr>
              <w:t>苏州市级财政支出项目绩效自评价报告</w:t>
            </w:r>
          </w:p>
        </w:tc>
      </w:tr>
      <w:tr w14:paraId="42BD7D30">
        <w:tblPrEx>
          <w:tblCellMar>
            <w:top w:w="0" w:type="dxa"/>
            <w:left w:w="0" w:type="dxa"/>
            <w:bottom w:w="0" w:type="dxa"/>
            <w:right w:w="0" w:type="dxa"/>
          </w:tblCellMar>
        </w:tblPrEx>
        <w:trPr>
          <w:trHeight w:val="472" w:hRule="atLeast"/>
        </w:trPr>
        <w:tc>
          <w:tcPr>
            <w:tcW w:w="8501" w:type="dxa"/>
            <w:gridSpan w:val="15"/>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42B06743">
            <w:pPr>
              <w:jc w:val="center"/>
              <w:rPr>
                <w:rFonts w:cs="Arial"/>
                <w:b/>
                <w:bCs/>
                <w:color w:val="000000"/>
                <w:sz w:val="36"/>
                <w:szCs w:val="36"/>
              </w:rPr>
            </w:pPr>
            <w:r>
              <w:rPr>
                <w:rFonts w:hint="eastAsia" w:cs="Arial"/>
                <w:b/>
                <w:bCs/>
                <w:color w:val="000000"/>
                <w:sz w:val="36"/>
                <w:szCs w:val="36"/>
              </w:rPr>
              <w:t>苏州市级财政支出项目绩效自评表</w:t>
            </w:r>
          </w:p>
        </w:tc>
      </w:tr>
      <w:tr w14:paraId="31BA0A7B">
        <w:tblPrEx>
          <w:tblCellMar>
            <w:top w:w="0" w:type="dxa"/>
            <w:left w:w="0" w:type="dxa"/>
            <w:bottom w:w="0" w:type="dxa"/>
            <w:right w:w="0" w:type="dxa"/>
          </w:tblCellMar>
        </w:tblPrEx>
        <w:trPr>
          <w:trHeight w:val="394" w:hRule="atLeast"/>
        </w:trPr>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192C829">
            <w:pPr>
              <w:jc w:val="center"/>
              <w:rPr>
                <w:rFonts w:cs="Arial"/>
                <w:color w:val="000000"/>
                <w:sz w:val="22"/>
              </w:rPr>
            </w:pPr>
            <w:r>
              <w:rPr>
                <w:rFonts w:hint="eastAsia" w:cs="Arial"/>
                <w:color w:val="000000"/>
                <w:sz w:val="22"/>
              </w:rPr>
              <w:t>项目名称</w:t>
            </w:r>
          </w:p>
        </w:tc>
        <w:tc>
          <w:tcPr>
            <w:tcW w:w="3460"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496DDD14">
            <w:pPr>
              <w:jc w:val="center"/>
              <w:rPr>
                <w:rFonts w:cs="Arial"/>
                <w:color w:val="000000"/>
                <w:sz w:val="22"/>
              </w:rPr>
            </w:pPr>
            <w:r>
              <w:rPr>
                <w:rFonts w:hint="eastAsia" w:ascii="宋体" w:hAnsi="宋体"/>
                <w:sz w:val="22"/>
              </w:rPr>
              <w:t>幼儿专项材料费</w:t>
            </w:r>
          </w:p>
        </w:tc>
        <w:tc>
          <w:tcPr>
            <w:tcW w:w="1514"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37BF6F38">
            <w:pPr>
              <w:jc w:val="center"/>
              <w:rPr>
                <w:rFonts w:cs="Arial"/>
                <w:color w:val="000000"/>
                <w:sz w:val="22"/>
              </w:rPr>
            </w:pPr>
            <w:r>
              <w:rPr>
                <w:rFonts w:hint="eastAsia" w:cs="Arial"/>
                <w:color w:val="000000"/>
                <w:sz w:val="22"/>
              </w:rPr>
              <w:t>项目年份</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4E1E1890">
            <w:pPr>
              <w:jc w:val="center"/>
              <w:rPr>
                <w:rFonts w:hint="eastAsia" w:eastAsia="宋体" w:cs="Arial"/>
                <w:color w:val="000000"/>
                <w:sz w:val="22"/>
                <w:lang w:eastAsia="zh-CN"/>
              </w:rPr>
            </w:pPr>
            <w:r>
              <w:rPr>
                <w:rFonts w:hint="eastAsia" w:ascii="宋体" w:hAnsi="宋体"/>
                <w:sz w:val="22"/>
              </w:rPr>
              <w:t>2</w:t>
            </w:r>
            <w:r>
              <w:rPr>
                <w:rFonts w:ascii="宋体" w:hAnsi="宋体"/>
                <w:sz w:val="22"/>
              </w:rPr>
              <w:t>02</w:t>
            </w:r>
            <w:r>
              <w:rPr>
                <w:rFonts w:hint="eastAsia" w:ascii="宋体" w:hAnsi="宋体"/>
                <w:sz w:val="22"/>
                <w:lang w:val="en-US" w:eastAsia="zh-CN"/>
              </w:rPr>
              <w:t>5</w:t>
            </w:r>
          </w:p>
        </w:tc>
      </w:tr>
      <w:tr w14:paraId="211648C1">
        <w:tblPrEx>
          <w:tblCellMar>
            <w:top w:w="0" w:type="dxa"/>
            <w:left w:w="0" w:type="dxa"/>
            <w:bottom w:w="0" w:type="dxa"/>
            <w:right w:w="0" w:type="dxa"/>
          </w:tblCellMar>
        </w:tblPrEx>
        <w:trPr>
          <w:trHeight w:val="425" w:hRule="atLeast"/>
        </w:trPr>
        <w:tc>
          <w:tcPr>
            <w:tcW w:w="182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B169E82">
            <w:pPr>
              <w:jc w:val="center"/>
              <w:rPr>
                <w:rFonts w:cs="Arial"/>
                <w:color w:val="000000"/>
                <w:sz w:val="22"/>
              </w:rPr>
            </w:pPr>
            <w:r>
              <w:rPr>
                <w:rFonts w:hint="eastAsia" w:cs="Arial"/>
                <w:color w:val="000000"/>
                <w:sz w:val="22"/>
              </w:rPr>
              <w:t>项目主管部门(单位)</w:t>
            </w:r>
          </w:p>
        </w:tc>
        <w:tc>
          <w:tcPr>
            <w:tcW w:w="6679" w:type="dxa"/>
            <w:gridSpan w:val="12"/>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4C571BB2">
            <w:pPr>
              <w:jc w:val="center"/>
              <w:rPr>
                <w:rFonts w:cs="Arial"/>
                <w:color w:val="000000"/>
                <w:sz w:val="22"/>
              </w:rPr>
            </w:pPr>
            <w:r>
              <w:rPr>
                <w:rFonts w:hint="eastAsia" w:ascii="宋体" w:hAnsi="宋体"/>
                <w:sz w:val="22"/>
              </w:rPr>
              <w:t>苏州市民治路幼儿园</w:t>
            </w:r>
          </w:p>
        </w:tc>
      </w:tr>
      <w:tr w14:paraId="1E309169">
        <w:tblPrEx>
          <w:tblCellMar>
            <w:top w:w="0" w:type="dxa"/>
            <w:left w:w="0" w:type="dxa"/>
            <w:bottom w:w="0" w:type="dxa"/>
            <w:right w:w="0" w:type="dxa"/>
          </w:tblCellMar>
        </w:tblPrEx>
        <w:trPr>
          <w:trHeight w:val="535" w:hRule="atLeast"/>
        </w:trPr>
        <w:tc>
          <w:tcPr>
            <w:tcW w:w="852"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466B6C2E">
            <w:pPr>
              <w:jc w:val="center"/>
              <w:rPr>
                <w:rFonts w:cs="Arial"/>
                <w:color w:val="000000"/>
                <w:sz w:val="22"/>
              </w:rPr>
            </w:pPr>
            <w:r>
              <w:rPr>
                <w:rFonts w:hint="eastAsia" w:cs="Arial"/>
                <w:color w:val="000000"/>
                <w:sz w:val="22"/>
              </w:rPr>
              <w:t>市级预算执行情况（万元）</w:t>
            </w:r>
          </w:p>
        </w:tc>
        <w:tc>
          <w:tcPr>
            <w:tcW w:w="970"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13ADE436">
            <w:pPr>
              <w:jc w:val="center"/>
              <w:rPr>
                <w:rFonts w:cs="Arial"/>
                <w:color w:val="000000"/>
                <w:sz w:val="22"/>
              </w:rPr>
            </w:pPr>
            <w:r>
              <w:rPr>
                <w:rFonts w:hint="eastAsia" w:cs="Arial"/>
                <w:color w:val="000000"/>
                <w:sz w:val="22"/>
              </w:rPr>
              <w:t>年初预算数</w:t>
            </w:r>
          </w:p>
        </w:tc>
        <w:tc>
          <w:tcPr>
            <w:tcW w:w="2300" w:type="dxa"/>
            <w:gridSpan w:val="5"/>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294CA7A3">
            <w:pPr>
              <w:overflowPunct w:val="0"/>
              <w:adjustRightInd w:val="0"/>
              <w:snapToGrid w:val="0"/>
              <w:jc w:val="center"/>
              <w:rPr>
                <w:rFonts w:hint="eastAsia" w:eastAsia="宋体"/>
                <w:snapToGrid w:val="0"/>
                <w:color w:val="000000"/>
                <w:kern w:val="0"/>
                <w:sz w:val="24"/>
                <w:szCs w:val="28"/>
                <w:highlight w:val="none"/>
              </w:rPr>
            </w:pPr>
            <w:r>
              <w:rPr>
                <w:rFonts w:hint="eastAsia" w:eastAsia="宋体"/>
                <w:snapToGrid w:val="0"/>
                <w:color w:val="000000"/>
                <w:kern w:val="0"/>
                <w:sz w:val="24"/>
                <w:szCs w:val="28"/>
                <w:highlight w:val="none"/>
              </w:rPr>
              <w:t>当年使用上年结余、</w:t>
            </w:r>
          </w:p>
          <w:p w14:paraId="07AEB682">
            <w:pPr>
              <w:jc w:val="center"/>
              <w:rPr>
                <w:rFonts w:cs="Arial"/>
                <w:color w:val="000000"/>
                <w:sz w:val="22"/>
              </w:rPr>
            </w:pPr>
            <w:r>
              <w:rPr>
                <w:rFonts w:hint="eastAsia" w:eastAsia="宋体"/>
                <w:snapToGrid w:val="0"/>
                <w:color w:val="000000"/>
                <w:spacing w:val="-10"/>
                <w:kern w:val="0"/>
                <w:sz w:val="24"/>
                <w:szCs w:val="28"/>
                <w:highlight w:val="none"/>
              </w:rPr>
              <w:t>结转及当年预算</w:t>
            </w:r>
            <w:r>
              <w:rPr>
                <w:rFonts w:hint="eastAsia" w:eastAsia="宋体"/>
                <w:snapToGrid w:val="0"/>
                <w:color w:val="000000"/>
                <w:spacing w:val="-10"/>
                <w:kern w:val="0"/>
                <w:sz w:val="24"/>
                <w:szCs w:val="28"/>
                <w:highlight w:val="none"/>
                <w:lang w:val="en-US" w:eastAsia="zh-CN"/>
              </w:rPr>
              <w:t>追加追减数</w:t>
            </w:r>
          </w:p>
        </w:tc>
        <w:tc>
          <w:tcPr>
            <w:tcW w:w="1337" w:type="dxa"/>
            <w:gridSpan w:val="3"/>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1EE3546C">
            <w:pPr>
              <w:jc w:val="center"/>
              <w:rPr>
                <w:rFonts w:cs="Arial"/>
                <w:color w:val="000000"/>
                <w:sz w:val="22"/>
              </w:rPr>
            </w:pPr>
            <w:r>
              <w:rPr>
                <w:rFonts w:hint="eastAsia" w:cs="Arial"/>
                <w:color w:val="000000"/>
                <w:sz w:val="22"/>
              </w:rPr>
              <w:t>财政拨款数</w:t>
            </w:r>
          </w:p>
        </w:tc>
        <w:tc>
          <w:tcPr>
            <w:tcW w:w="1337" w:type="dxa"/>
            <w:gridSpan w:val="2"/>
            <w:tcBorders>
              <w:top w:val="single" w:color="000000" w:sz="4" w:space="0"/>
              <w:left w:val="nil"/>
              <w:bottom w:val="single" w:color="000000" w:sz="4" w:space="0"/>
              <w:right w:val="single" w:color="000000" w:sz="4" w:space="0"/>
            </w:tcBorders>
            <w:shd w:val="clear" w:color="auto" w:fill="auto"/>
            <w:vAlign w:val="center"/>
          </w:tcPr>
          <w:p w14:paraId="57E44398">
            <w:pPr>
              <w:jc w:val="center"/>
              <w:rPr>
                <w:rFonts w:cs="Arial"/>
                <w:color w:val="000000"/>
                <w:sz w:val="22"/>
              </w:rPr>
            </w:pPr>
            <w:r>
              <w:rPr>
                <w:rFonts w:hint="eastAsia" w:cs="Arial"/>
                <w:color w:val="000000"/>
                <w:sz w:val="22"/>
              </w:rPr>
              <w:t>指标结余数</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53A8D32C">
            <w:pPr>
              <w:jc w:val="center"/>
              <w:rPr>
                <w:rFonts w:cs="Arial"/>
                <w:color w:val="000000"/>
                <w:sz w:val="22"/>
              </w:rPr>
            </w:pPr>
            <w:r>
              <w:rPr>
                <w:rFonts w:hint="eastAsia" w:cs="Arial"/>
                <w:color w:val="000000"/>
                <w:sz w:val="22"/>
              </w:rPr>
              <w:t>指标结余收回数</w:t>
            </w:r>
          </w:p>
        </w:tc>
      </w:tr>
      <w:tr w14:paraId="028CC8EF">
        <w:tblPrEx>
          <w:tblCellMar>
            <w:top w:w="0" w:type="dxa"/>
            <w:left w:w="0" w:type="dxa"/>
            <w:bottom w:w="0" w:type="dxa"/>
            <w:right w:w="0" w:type="dxa"/>
          </w:tblCellMar>
        </w:tblPrEx>
        <w:trPr>
          <w:trHeight w:val="441" w:hRule="atLeast"/>
        </w:trPr>
        <w:tc>
          <w:tcPr>
            <w:tcW w:w="852" w:type="dxa"/>
            <w:vMerge w:val="continue"/>
            <w:tcBorders>
              <w:top w:val="nil"/>
              <w:left w:val="single" w:color="000000" w:sz="4" w:space="0"/>
              <w:bottom w:val="single" w:color="000000" w:sz="4" w:space="0"/>
              <w:right w:val="single" w:color="000000" w:sz="4" w:space="0"/>
            </w:tcBorders>
            <w:vAlign w:val="center"/>
          </w:tcPr>
          <w:p w14:paraId="33A3C8A5">
            <w:pPr>
              <w:rPr>
                <w:rFonts w:cs="Arial"/>
                <w:color w:val="000000"/>
                <w:sz w:val="22"/>
              </w:rPr>
            </w:pPr>
          </w:p>
        </w:tc>
        <w:tc>
          <w:tcPr>
            <w:tcW w:w="970"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31377BF3">
            <w:pPr>
              <w:jc w:val="center"/>
              <w:rPr>
                <w:rFonts w:cs="Arial"/>
                <w:color w:val="000000"/>
                <w:sz w:val="22"/>
              </w:rPr>
            </w:pPr>
            <w:r>
              <w:rPr>
                <w:rFonts w:hint="eastAsia" w:ascii="宋体" w:hAnsi="宋体"/>
                <w:sz w:val="22"/>
              </w:rPr>
              <w:t>63.6</w:t>
            </w:r>
          </w:p>
        </w:tc>
        <w:tc>
          <w:tcPr>
            <w:tcW w:w="2300" w:type="dxa"/>
            <w:gridSpan w:val="5"/>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0470EEC2">
            <w:pPr>
              <w:jc w:val="center"/>
              <w:rPr>
                <w:rFonts w:cs="Arial"/>
                <w:color w:val="000000"/>
                <w:sz w:val="22"/>
              </w:rPr>
            </w:pPr>
            <w:r>
              <w:rPr>
                <w:rFonts w:hint="eastAsia" w:ascii="宋体" w:hAnsi="宋体"/>
                <w:sz w:val="22"/>
              </w:rPr>
              <w:t>0</w:t>
            </w:r>
          </w:p>
        </w:tc>
        <w:tc>
          <w:tcPr>
            <w:tcW w:w="1337" w:type="dxa"/>
            <w:gridSpan w:val="3"/>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681690A2">
            <w:pPr>
              <w:jc w:val="center"/>
              <w:rPr>
                <w:rFonts w:cs="Arial"/>
                <w:color w:val="000000"/>
                <w:sz w:val="22"/>
              </w:rPr>
            </w:pPr>
            <w:r>
              <w:rPr>
                <w:rFonts w:hint="eastAsia" w:ascii="宋体" w:hAnsi="宋体"/>
                <w:sz w:val="22"/>
              </w:rPr>
              <w:t>63.6</w:t>
            </w:r>
          </w:p>
        </w:tc>
        <w:tc>
          <w:tcPr>
            <w:tcW w:w="1337" w:type="dxa"/>
            <w:gridSpan w:val="2"/>
            <w:tcBorders>
              <w:top w:val="single" w:color="000000" w:sz="4" w:space="0"/>
              <w:left w:val="nil"/>
              <w:bottom w:val="single" w:color="000000" w:sz="4" w:space="0"/>
              <w:right w:val="single" w:color="000000" w:sz="4" w:space="0"/>
            </w:tcBorders>
            <w:shd w:val="clear" w:color="auto" w:fill="auto"/>
            <w:vAlign w:val="center"/>
          </w:tcPr>
          <w:p w14:paraId="71D912DA">
            <w:pPr>
              <w:jc w:val="center"/>
              <w:rPr>
                <w:rFonts w:cs="Arial"/>
                <w:color w:val="000000"/>
                <w:sz w:val="22"/>
              </w:rPr>
            </w:pPr>
            <w:r>
              <w:rPr>
                <w:rFonts w:hint="eastAsia" w:ascii="宋体" w:hAnsi="宋体"/>
                <w:sz w:val="22"/>
              </w:rPr>
              <w:t>0</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0A43011E">
            <w:pPr>
              <w:jc w:val="center"/>
              <w:rPr>
                <w:rFonts w:cs="Arial"/>
                <w:color w:val="000000"/>
                <w:sz w:val="22"/>
              </w:rPr>
            </w:pPr>
            <w:r>
              <w:rPr>
                <w:rFonts w:hint="eastAsia" w:ascii="宋体" w:hAnsi="宋体"/>
                <w:sz w:val="22"/>
              </w:rPr>
              <w:t>0</w:t>
            </w:r>
          </w:p>
        </w:tc>
      </w:tr>
      <w:tr w14:paraId="18B2AA6C">
        <w:tblPrEx>
          <w:tblCellMar>
            <w:top w:w="0" w:type="dxa"/>
            <w:left w:w="0" w:type="dxa"/>
            <w:bottom w:w="0" w:type="dxa"/>
            <w:right w:w="0" w:type="dxa"/>
          </w:tblCellMar>
        </w:tblPrEx>
        <w:trPr>
          <w:trHeight w:val="346" w:hRule="atLeast"/>
        </w:trPr>
        <w:tc>
          <w:tcPr>
            <w:tcW w:w="852" w:type="dxa"/>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1FB4513">
            <w:pPr>
              <w:jc w:val="center"/>
              <w:rPr>
                <w:rFonts w:cs="Arial"/>
                <w:color w:val="000000"/>
                <w:sz w:val="22"/>
              </w:rPr>
            </w:pPr>
            <w:r>
              <w:rPr>
                <w:rFonts w:hint="eastAsia" w:cs="Arial"/>
                <w:color w:val="000000"/>
                <w:sz w:val="22"/>
              </w:rPr>
              <w:t>市级财政资金使用情况（万元）</w:t>
            </w:r>
          </w:p>
        </w:tc>
        <w:tc>
          <w:tcPr>
            <w:tcW w:w="970" w:type="dxa"/>
            <w:gridSpan w:val="2"/>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D99042D">
            <w:pPr>
              <w:jc w:val="center"/>
              <w:rPr>
                <w:rFonts w:cs="Arial"/>
                <w:color w:val="000000"/>
                <w:sz w:val="22"/>
              </w:rPr>
            </w:pPr>
            <w:r>
              <w:rPr>
                <w:rFonts w:hint="eastAsia" w:cs="Arial"/>
                <w:color w:val="000000"/>
                <w:sz w:val="22"/>
              </w:rPr>
              <w:t>财政拨款数</w:t>
            </w:r>
          </w:p>
        </w:tc>
        <w:tc>
          <w:tcPr>
            <w:tcW w:w="1520" w:type="dxa"/>
            <w:gridSpan w:val="3"/>
            <w:vMerge w:val="restart"/>
            <w:tcBorders>
              <w:top w:val="nil"/>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69B6BBCF">
            <w:pPr>
              <w:jc w:val="center"/>
              <w:rPr>
                <w:rFonts w:cs="Arial"/>
                <w:color w:val="000000"/>
                <w:sz w:val="22"/>
              </w:rPr>
            </w:pPr>
            <w:r>
              <w:rPr>
                <w:rFonts w:hint="eastAsia" w:cs="Arial"/>
                <w:color w:val="000000"/>
                <w:sz w:val="22"/>
              </w:rPr>
              <w:t>实际支付数</w:t>
            </w:r>
          </w:p>
        </w:tc>
        <w:tc>
          <w:tcPr>
            <w:tcW w:w="1940" w:type="dxa"/>
            <w:gridSpan w:val="4"/>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24574F12">
            <w:pPr>
              <w:jc w:val="center"/>
              <w:rPr>
                <w:rFonts w:cs="Arial"/>
                <w:color w:val="000000"/>
                <w:sz w:val="22"/>
              </w:rPr>
            </w:pPr>
            <w:r>
              <w:rPr>
                <w:rFonts w:hint="eastAsia" w:cs="Arial"/>
                <w:color w:val="000000"/>
                <w:sz w:val="22"/>
              </w:rPr>
              <w:t>资金结余、结转数</w:t>
            </w:r>
          </w:p>
        </w:tc>
        <w:tc>
          <w:tcPr>
            <w:tcW w:w="3219" w:type="dxa"/>
            <w:gridSpan w:val="5"/>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744FDC86">
            <w:pPr>
              <w:jc w:val="center"/>
              <w:rPr>
                <w:rFonts w:cs="Arial"/>
                <w:color w:val="000000"/>
                <w:sz w:val="22"/>
              </w:rPr>
            </w:pPr>
            <w:r>
              <w:rPr>
                <w:rFonts w:hint="eastAsia" w:cs="Arial"/>
                <w:color w:val="000000"/>
                <w:sz w:val="22"/>
              </w:rPr>
              <w:t>其中：</w:t>
            </w:r>
          </w:p>
        </w:tc>
      </w:tr>
      <w:tr w14:paraId="44D6F506">
        <w:tblPrEx>
          <w:tblCellMar>
            <w:top w:w="0" w:type="dxa"/>
            <w:left w:w="0" w:type="dxa"/>
            <w:bottom w:w="0" w:type="dxa"/>
            <w:right w:w="0" w:type="dxa"/>
          </w:tblCellMar>
        </w:tblPrEx>
        <w:trPr>
          <w:trHeight w:val="378" w:hRule="atLeast"/>
        </w:trPr>
        <w:tc>
          <w:tcPr>
            <w:tcW w:w="852" w:type="dxa"/>
            <w:vMerge w:val="continue"/>
            <w:tcBorders>
              <w:top w:val="nil"/>
              <w:left w:val="single" w:color="000000" w:sz="4" w:space="0"/>
              <w:bottom w:val="single" w:color="000000" w:sz="4" w:space="0"/>
              <w:right w:val="single" w:color="000000" w:sz="4" w:space="0"/>
            </w:tcBorders>
            <w:vAlign w:val="center"/>
          </w:tcPr>
          <w:p w14:paraId="5DDFAEF8">
            <w:pPr>
              <w:rPr>
                <w:rFonts w:cs="Arial"/>
                <w:color w:val="000000"/>
                <w:sz w:val="22"/>
              </w:rPr>
            </w:pPr>
          </w:p>
        </w:tc>
        <w:tc>
          <w:tcPr>
            <w:tcW w:w="970" w:type="dxa"/>
            <w:gridSpan w:val="2"/>
            <w:vMerge w:val="continue"/>
            <w:tcBorders>
              <w:top w:val="nil"/>
              <w:left w:val="single" w:color="000000" w:sz="4" w:space="0"/>
              <w:bottom w:val="single" w:color="000000" w:sz="4" w:space="0"/>
              <w:right w:val="single" w:color="000000" w:sz="4" w:space="0"/>
            </w:tcBorders>
            <w:vAlign w:val="center"/>
          </w:tcPr>
          <w:p w14:paraId="04F093DE">
            <w:pPr>
              <w:rPr>
                <w:rFonts w:cs="Arial"/>
                <w:color w:val="000000"/>
                <w:sz w:val="22"/>
              </w:rPr>
            </w:pPr>
          </w:p>
        </w:tc>
        <w:tc>
          <w:tcPr>
            <w:tcW w:w="1520" w:type="dxa"/>
            <w:gridSpan w:val="3"/>
            <w:vMerge w:val="continue"/>
            <w:tcBorders>
              <w:top w:val="nil"/>
              <w:left w:val="single" w:color="000000" w:sz="4" w:space="0"/>
              <w:bottom w:val="single" w:color="000000" w:sz="4" w:space="0"/>
              <w:right w:val="single" w:color="000000" w:sz="4" w:space="0"/>
            </w:tcBorders>
            <w:vAlign w:val="center"/>
          </w:tcPr>
          <w:p w14:paraId="68DB6072">
            <w:pPr>
              <w:rPr>
                <w:rFonts w:cs="Arial"/>
                <w:color w:val="000000"/>
                <w:sz w:val="22"/>
              </w:rPr>
            </w:pPr>
          </w:p>
        </w:tc>
        <w:tc>
          <w:tcPr>
            <w:tcW w:w="1940" w:type="dxa"/>
            <w:gridSpan w:val="4"/>
            <w:vMerge w:val="continue"/>
            <w:tcBorders>
              <w:top w:val="single" w:color="000000" w:sz="4" w:space="0"/>
              <w:left w:val="single" w:color="000000" w:sz="4" w:space="0"/>
              <w:bottom w:val="single" w:color="000000" w:sz="4" w:space="0"/>
              <w:right w:val="single" w:color="000000" w:sz="4" w:space="0"/>
            </w:tcBorders>
            <w:vAlign w:val="center"/>
          </w:tcPr>
          <w:p w14:paraId="7ECFF13F">
            <w:pPr>
              <w:rPr>
                <w:rFonts w:cs="Arial"/>
                <w:color w:val="000000"/>
                <w:sz w:val="22"/>
              </w:rPr>
            </w:pPr>
          </w:p>
        </w:tc>
        <w:tc>
          <w:tcPr>
            <w:tcW w:w="1514"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4FA7DAE6">
            <w:pPr>
              <w:jc w:val="center"/>
              <w:rPr>
                <w:rFonts w:cs="Arial"/>
                <w:color w:val="000000"/>
                <w:sz w:val="22"/>
              </w:rPr>
            </w:pPr>
            <w:r>
              <w:rPr>
                <w:rFonts w:hint="eastAsia" w:cs="Arial"/>
                <w:color w:val="000000"/>
                <w:sz w:val="22"/>
              </w:rPr>
              <w:t>结转数</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25CDC9B3">
            <w:pPr>
              <w:jc w:val="center"/>
              <w:rPr>
                <w:rFonts w:cs="Arial"/>
                <w:color w:val="000000"/>
                <w:sz w:val="22"/>
              </w:rPr>
            </w:pPr>
            <w:r>
              <w:rPr>
                <w:rFonts w:hint="eastAsia" w:cs="Arial"/>
                <w:color w:val="000000"/>
                <w:sz w:val="22"/>
              </w:rPr>
              <w:t>财政收回数</w:t>
            </w:r>
          </w:p>
        </w:tc>
      </w:tr>
      <w:tr w14:paraId="78B54121">
        <w:tblPrEx>
          <w:tblCellMar>
            <w:top w:w="0" w:type="dxa"/>
            <w:left w:w="0" w:type="dxa"/>
            <w:bottom w:w="0" w:type="dxa"/>
            <w:right w:w="0" w:type="dxa"/>
          </w:tblCellMar>
        </w:tblPrEx>
        <w:trPr>
          <w:trHeight w:val="630" w:hRule="atLeast"/>
        </w:trPr>
        <w:tc>
          <w:tcPr>
            <w:tcW w:w="852" w:type="dxa"/>
            <w:vMerge w:val="continue"/>
            <w:tcBorders>
              <w:top w:val="nil"/>
              <w:left w:val="single" w:color="000000" w:sz="4" w:space="0"/>
              <w:bottom w:val="single" w:color="000000" w:sz="4" w:space="0"/>
              <w:right w:val="single" w:color="000000" w:sz="4" w:space="0"/>
            </w:tcBorders>
            <w:vAlign w:val="center"/>
          </w:tcPr>
          <w:p w14:paraId="7603EB57">
            <w:pPr>
              <w:rPr>
                <w:rFonts w:cs="Arial"/>
                <w:color w:val="000000"/>
                <w:sz w:val="22"/>
              </w:rPr>
            </w:pPr>
          </w:p>
        </w:tc>
        <w:tc>
          <w:tcPr>
            <w:tcW w:w="970"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2FE2AC2B">
            <w:pPr>
              <w:jc w:val="center"/>
              <w:rPr>
                <w:rFonts w:cs="Arial"/>
                <w:color w:val="000000"/>
                <w:sz w:val="22"/>
              </w:rPr>
            </w:pPr>
            <w:r>
              <w:rPr>
                <w:rFonts w:hint="eastAsia" w:ascii="宋体" w:hAnsi="宋体"/>
                <w:sz w:val="22"/>
              </w:rPr>
              <w:t>63.6</w:t>
            </w:r>
          </w:p>
        </w:tc>
        <w:tc>
          <w:tcPr>
            <w:tcW w:w="1520"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34C038E7">
            <w:pPr>
              <w:jc w:val="center"/>
              <w:rPr>
                <w:rFonts w:cs="Arial"/>
                <w:color w:val="000000"/>
                <w:sz w:val="22"/>
              </w:rPr>
            </w:pPr>
            <w:r>
              <w:rPr>
                <w:rFonts w:hint="eastAsia" w:ascii="宋体" w:hAnsi="宋体"/>
                <w:sz w:val="22"/>
              </w:rPr>
              <w:t>63.59</w:t>
            </w:r>
          </w:p>
        </w:tc>
        <w:tc>
          <w:tcPr>
            <w:tcW w:w="1940" w:type="dxa"/>
            <w:gridSpan w:val="4"/>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1DB03328">
            <w:pPr>
              <w:jc w:val="center"/>
              <w:rPr>
                <w:rFonts w:cs="Arial"/>
                <w:color w:val="000000"/>
                <w:sz w:val="22"/>
              </w:rPr>
            </w:pPr>
            <w:r>
              <w:rPr>
                <w:rFonts w:hint="eastAsia" w:ascii="宋体" w:hAnsi="宋体"/>
                <w:sz w:val="22"/>
              </w:rPr>
              <w:t>.01</w:t>
            </w:r>
          </w:p>
        </w:tc>
        <w:tc>
          <w:tcPr>
            <w:tcW w:w="1514" w:type="dxa"/>
            <w:gridSpan w:val="3"/>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06B03A63">
            <w:pPr>
              <w:jc w:val="center"/>
              <w:rPr>
                <w:rFonts w:cs="Arial"/>
                <w:color w:val="000000"/>
                <w:sz w:val="22"/>
              </w:rPr>
            </w:pPr>
            <w:r>
              <w:rPr>
                <w:rFonts w:hint="eastAsia" w:ascii="宋体" w:hAnsi="宋体"/>
                <w:sz w:val="22"/>
              </w:rPr>
              <w:t>0</w:t>
            </w:r>
          </w:p>
        </w:tc>
        <w:tc>
          <w:tcPr>
            <w:tcW w:w="1705" w:type="dxa"/>
            <w:gridSpan w:val="2"/>
            <w:tcBorders>
              <w:top w:val="nil"/>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56E3160C">
            <w:pPr>
              <w:jc w:val="center"/>
              <w:rPr>
                <w:rFonts w:cs="Arial"/>
                <w:color w:val="000000"/>
                <w:sz w:val="22"/>
              </w:rPr>
            </w:pPr>
            <w:r>
              <w:rPr>
                <w:rFonts w:hint="eastAsia" w:ascii="宋体" w:hAnsi="宋体"/>
                <w:sz w:val="22"/>
              </w:rPr>
              <w:t>0.01</w:t>
            </w:r>
          </w:p>
        </w:tc>
      </w:tr>
      <w:tr w14:paraId="7E0FC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8501" w:type="dxa"/>
            <w:gridSpan w:val="15"/>
            <w:tcBorders>
              <w:top w:val="single" w:color="auto" w:sz="4" w:space="0"/>
              <w:left w:val="single" w:color="auto" w:sz="4" w:space="0"/>
              <w:bottom w:val="single" w:color="auto" w:sz="4" w:space="0"/>
              <w:right w:val="single" w:color="auto" w:sz="4" w:space="0"/>
            </w:tcBorders>
            <w:shd w:val="clear" w:color="auto" w:fill="BFBFBF"/>
            <w:vAlign w:val="center"/>
          </w:tcPr>
          <w:p w14:paraId="69099E6B">
            <w:pPr>
              <w:widowControl/>
              <w:jc w:val="center"/>
              <w:rPr>
                <w:rFonts w:ascii="宋体" w:hAnsi="宋体" w:cs="Arial"/>
                <w:color w:val="000000"/>
                <w:kern w:val="0"/>
                <w:sz w:val="20"/>
                <w:szCs w:val="20"/>
              </w:rPr>
            </w:pPr>
            <w:r>
              <w:rPr>
                <w:rFonts w:hint="eastAsia" w:ascii="宋体" w:hAnsi="宋体" w:cs="Arial"/>
                <w:color w:val="000000"/>
                <w:kern w:val="0"/>
                <w:sz w:val="20"/>
                <w:szCs w:val="20"/>
              </w:rPr>
              <w:t>项目资金构成（详细列出各子项目名称和金额）</w:t>
            </w:r>
          </w:p>
        </w:tc>
      </w:tr>
      <w:tr w14:paraId="6443A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511" w:type="dxa"/>
            <w:gridSpan w:val="5"/>
            <w:tcBorders>
              <w:top w:val="single" w:color="auto" w:sz="4" w:space="0"/>
              <w:left w:val="single" w:color="auto" w:sz="4" w:space="0"/>
              <w:bottom w:val="single" w:color="auto" w:sz="4" w:space="0"/>
              <w:right w:val="single" w:color="auto" w:sz="4" w:space="0"/>
            </w:tcBorders>
            <w:shd w:val="clear" w:color="auto" w:fill="BFBFBF"/>
            <w:vAlign w:val="center"/>
          </w:tcPr>
          <w:p w14:paraId="3AEF2EA3">
            <w:pPr>
              <w:widowControl/>
              <w:jc w:val="center"/>
              <w:rPr>
                <w:rFonts w:ascii="宋体" w:hAnsi="宋体" w:cs="Arial"/>
                <w:color w:val="000000"/>
                <w:kern w:val="0"/>
                <w:sz w:val="20"/>
                <w:szCs w:val="20"/>
              </w:rPr>
            </w:pPr>
            <w:r>
              <w:rPr>
                <w:rFonts w:hint="eastAsia" w:ascii="宋体" w:hAnsi="宋体" w:cs="Arial"/>
                <w:color w:val="000000"/>
                <w:kern w:val="0"/>
                <w:sz w:val="20"/>
                <w:szCs w:val="20"/>
              </w:rPr>
              <w:t/>
            </w:r>
            <w:r>
              <w:rPr>
                <w:rFonts w:ascii="宋体" w:hAnsi="宋体" w:cs="宋体" w:eastAsia="宋体"/>
                <w:color w:val="000000"/>
                <w:sz w:val="20"/>
                <w:u w:val="none"/>
              </w:rPr>
              <w:t>子项名称</w:t>
            </w:r>
          </w:p>
        </w:tc>
        <w:tc>
          <w:tcPr>
            <w:tcW w:w="2771" w:type="dxa"/>
            <w:gridSpan w:val="5"/>
            <w:tcBorders>
              <w:top w:val="single" w:color="auto" w:sz="4" w:space="0"/>
              <w:left w:val="single" w:color="auto" w:sz="4" w:space="0"/>
              <w:bottom w:val="single" w:color="auto" w:sz="4" w:space="0"/>
              <w:right w:val="single" w:color="auto" w:sz="4" w:space="0"/>
            </w:tcBorders>
            <w:shd w:val="clear" w:color="auto" w:fill="BFBFBF"/>
            <w:vAlign w:val="center"/>
          </w:tcPr>
          <w:p w14:paraId="4FE7B84D">
            <w:pPr>
              <w:widowControl/>
              <w:jc w:val="center"/>
              <w:rPr>
                <w:rFonts w:ascii="宋体" w:hAnsi="宋体" w:cs="Arial"/>
                <w:color w:val="000000"/>
                <w:kern w:val="0"/>
                <w:sz w:val="20"/>
                <w:szCs w:val="20"/>
              </w:rPr>
            </w:pPr>
            <w:r>
              <w:rPr>
                <w:rFonts w:hint="eastAsia" w:ascii="宋体" w:hAnsi="宋体" w:cs="Arial"/>
                <w:color w:val="000000"/>
                <w:kern w:val="0"/>
                <w:sz w:val="20"/>
                <w:szCs w:val="20"/>
                <w:lang w:val="en-US" w:eastAsia="zh-CN"/>
              </w:rPr>
              <w:t>调整</w:t>
            </w:r>
            <w:r>
              <w:rPr>
                <w:rFonts w:hint="eastAsia" w:ascii="宋体" w:hAnsi="宋体" w:cs="Arial"/>
                <w:color w:val="000000"/>
                <w:kern w:val="0"/>
                <w:sz w:val="20"/>
                <w:szCs w:val="20"/>
              </w:rPr>
              <w:t>预算数（万元）</w:t>
            </w:r>
          </w:p>
        </w:tc>
        <w:tc>
          <w:tcPr>
            <w:tcW w:w="3219" w:type="dxa"/>
            <w:gridSpan w:val="5"/>
            <w:tcBorders>
              <w:top w:val="single" w:color="auto" w:sz="4" w:space="0"/>
              <w:left w:val="single" w:color="auto" w:sz="4" w:space="0"/>
              <w:bottom w:val="single" w:color="auto" w:sz="4" w:space="0"/>
              <w:right w:val="single" w:color="auto" w:sz="4" w:space="0"/>
            </w:tcBorders>
            <w:shd w:val="clear" w:color="auto" w:fill="BFBFBF"/>
            <w:vAlign w:val="center"/>
          </w:tcPr>
          <w:p w14:paraId="6DE15E66">
            <w:pPr>
              <w:widowControl/>
              <w:jc w:val="center"/>
              <w:rPr>
                <w:rFonts w:ascii="宋体" w:hAnsi="宋体" w:cs="Arial"/>
                <w:color w:val="000000"/>
                <w:kern w:val="0"/>
                <w:sz w:val="20"/>
                <w:szCs w:val="20"/>
              </w:rPr>
            </w:pPr>
            <w:r>
              <w:rPr>
                <w:rFonts w:hint="eastAsia" w:ascii="宋体" w:hAnsi="宋体" w:cs="Arial"/>
                <w:color w:val="000000"/>
                <w:kern w:val="0"/>
                <w:sz w:val="20"/>
                <w:szCs w:val="20"/>
              </w:rPr>
              <w:t>实际</w:t>
            </w:r>
            <w:r>
              <w:rPr>
                <w:rFonts w:hint="eastAsia" w:ascii="宋体" w:hAnsi="宋体" w:cs="Arial"/>
                <w:color w:val="000000"/>
                <w:kern w:val="0"/>
                <w:sz w:val="20"/>
                <w:szCs w:val="20"/>
                <w:lang w:val="en-US" w:eastAsia="zh-CN"/>
              </w:rPr>
              <w:t>支出</w:t>
            </w:r>
            <w:r>
              <w:rPr>
                <w:rFonts w:hint="eastAsia" w:ascii="宋体" w:hAnsi="宋体" w:cs="Arial"/>
                <w:color w:val="000000"/>
                <w:kern w:val="0"/>
                <w:sz w:val="20"/>
                <w:szCs w:val="20"/>
              </w:rPr>
              <w:t>数（万元）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c>
          <w:tcPr>
            <w:tcW w:w="2511"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合计</w:t>
            </w:r>
          </w:p>
        </w:tc>
        <w:tc>
          <w:tcPr>
            <w:tcW w:w="2771"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63.6</w:t>
            </w:r>
          </w:p>
        </w:tc>
        <w:tc>
          <w:tcPr>
            <w:tcW w:w="3219"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63.59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c>
          <w:tcPr>
            <w:tcW w:w="2511"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易耗品采购费</w:t>
            </w:r>
          </w:p>
        </w:tc>
        <w:tc>
          <w:tcPr>
            <w:tcW w:w="2771"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63.6</w:t>
            </w:r>
          </w:p>
        </w:tc>
        <w:tc>
          <w:tcPr>
            <w:tcW w:w="3219" w:type="dxa"/>
            <w:gridSpan w:val="5"/>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63.59</w:t>
            </w:r>
          </w:p>
        </w:tc>
      </w:tr>
      <w:tr w14:paraId="55154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1218"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14:paraId="4B1665AC">
            <w:pPr>
              <w:widowControl/>
              <w:jc w:val="center"/>
              <w:rPr>
                <w:rFonts w:ascii="宋体" w:hAnsi="宋体" w:cs="Arial"/>
                <w:color w:val="000000"/>
                <w:kern w:val="0"/>
                <w:sz w:val="20"/>
                <w:szCs w:val="20"/>
              </w:rPr>
            </w:pPr>
            <w:r>
              <w:rPr>
                <w:rFonts w:hint="eastAsia" w:ascii="宋体" w:hAnsi="宋体" w:cs="Arial"/>
                <w:color w:val="000000"/>
                <w:kern w:val="0"/>
                <w:sz w:val="20"/>
                <w:szCs w:val="20"/>
              </w:rPr>
              <w:t/>
            </w:r>
            <w:r>
              <w:rPr>
                <w:rFonts w:ascii="宋体" w:hAnsi="宋体" w:cs="宋体" w:eastAsia="宋体"/>
                <w:color w:val="000000"/>
                <w:sz w:val="20"/>
                <w:u w:val="none"/>
              </w:rPr>
              <w:t>项目</w:t>
            </w:r>
          </w:p>
        </w:tc>
        <w:tc>
          <w:tcPr>
            <w:tcW w:w="1216"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14:paraId="2D704D81">
            <w:pPr>
              <w:widowControl/>
              <w:jc w:val="center"/>
              <w:rPr>
                <w:rFonts w:ascii="宋体" w:hAnsi="宋体" w:cs="Arial"/>
                <w:color w:val="000000"/>
                <w:kern w:val="0"/>
                <w:sz w:val="20"/>
                <w:szCs w:val="20"/>
              </w:rPr>
            </w:pPr>
            <w:r>
              <w:rPr>
                <w:rFonts w:hint="eastAsia" w:ascii="宋体" w:hAnsi="宋体" w:cs="Arial"/>
                <w:color w:val="000000"/>
                <w:kern w:val="0"/>
                <w:sz w:val="20"/>
                <w:szCs w:val="20"/>
              </w:rPr>
              <w:t>类别</w:t>
            </w:r>
          </w:p>
        </w:tc>
        <w:tc>
          <w:tcPr>
            <w:tcW w:w="1213" w:type="dxa"/>
            <w:gridSpan w:val="3"/>
            <w:tcBorders>
              <w:top w:val="single" w:color="auto" w:sz="4" w:space="0"/>
              <w:left w:val="single" w:color="auto" w:sz="4" w:space="0"/>
              <w:bottom w:val="single" w:color="auto" w:sz="4" w:space="0"/>
              <w:right w:val="single" w:color="auto" w:sz="4" w:space="0"/>
            </w:tcBorders>
            <w:shd w:val="clear" w:color="auto" w:fill="BFBFBF"/>
            <w:vAlign w:val="center"/>
          </w:tcPr>
          <w:p w14:paraId="11488344">
            <w:pPr>
              <w:widowControl/>
              <w:jc w:val="center"/>
              <w:rPr>
                <w:rFonts w:ascii="宋体" w:hAnsi="宋体" w:cs="Arial"/>
                <w:color w:val="000000"/>
                <w:kern w:val="0"/>
                <w:sz w:val="20"/>
                <w:szCs w:val="20"/>
              </w:rPr>
            </w:pPr>
            <w:r>
              <w:rPr>
                <w:rFonts w:hint="eastAsia" w:ascii="宋体" w:hAnsi="宋体" w:cs="Arial"/>
                <w:color w:val="000000"/>
                <w:kern w:val="0"/>
                <w:sz w:val="20"/>
                <w:szCs w:val="20"/>
              </w:rPr>
              <w:t>指标名称</w:t>
            </w:r>
          </w:p>
        </w:tc>
        <w:tc>
          <w:tcPr>
            <w:tcW w:w="1213"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14:paraId="3ABBBE12">
            <w:pPr>
              <w:widowControl/>
              <w:jc w:val="center"/>
              <w:rPr>
                <w:rFonts w:ascii="宋体" w:hAnsi="宋体" w:cs="Arial"/>
                <w:color w:val="000000"/>
                <w:kern w:val="0"/>
                <w:sz w:val="20"/>
                <w:szCs w:val="20"/>
              </w:rPr>
            </w:pPr>
            <w:r>
              <w:rPr>
                <w:rFonts w:hint="eastAsia" w:ascii="宋体" w:hAnsi="宋体" w:cs="Arial"/>
                <w:color w:val="000000"/>
                <w:kern w:val="0"/>
                <w:sz w:val="20"/>
                <w:szCs w:val="20"/>
              </w:rPr>
              <w:t>目标值</w:t>
            </w:r>
          </w:p>
        </w:tc>
        <w:tc>
          <w:tcPr>
            <w:tcW w:w="1213" w:type="dxa"/>
            <w:gridSpan w:val="3"/>
            <w:tcBorders>
              <w:top w:val="single" w:color="auto" w:sz="4" w:space="0"/>
              <w:left w:val="single" w:color="auto" w:sz="4" w:space="0"/>
              <w:bottom w:val="single" w:color="auto" w:sz="4" w:space="0"/>
              <w:right w:val="single" w:color="auto" w:sz="4" w:space="0"/>
            </w:tcBorders>
            <w:shd w:val="clear" w:color="auto" w:fill="BFBFBF"/>
            <w:vAlign w:val="center"/>
          </w:tcPr>
          <w:p w14:paraId="4F6D8A67">
            <w:pPr>
              <w:widowControl/>
              <w:jc w:val="center"/>
              <w:rPr>
                <w:rFonts w:ascii="宋体" w:hAnsi="宋体" w:cs="Arial"/>
                <w:color w:val="000000"/>
                <w:kern w:val="0"/>
                <w:sz w:val="20"/>
                <w:szCs w:val="20"/>
              </w:rPr>
            </w:pPr>
            <w:r>
              <w:rPr>
                <w:rFonts w:hint="eastAsia" w:ascii="宋体" w:hAnsi="宋体" w:cs="Arial"/>
                <w:color w:val="000000"/>
                <w:kern w:val="0"/>
                <w:sz w:val="20"/>
                <w:szCs w:val="20"/>
              </w:rPr>
              <w:t>权重</w:t>
            </w:r>
          </w:p>
        </w:tc>
        <w:tc>
          <w:tcPr>
            <w:tcW w:w="1213" w:type="dxa"/>
            <w:gridSpan w:val="2"/>
            <w:tcBorders>
              <w:top w:val="single" w:color="auto" w:sz="4" w:space="0"/>
              <w:left w:val="single" w:color="auto" w:sz="4" w:space="0"/>
              <w:bottom w:val="single" w:color="auto" w:sz="4" w:space="0"/>
              <w:right w:val="single" w:color="auto" w:sz="4" w:space="0"/>
            </w:tcBorders>
            <w:shd w:val="clear" w:color="auto" w:fill="BFBFBF"/>
            <w:vAlign w:val="center"/>
          </w:tcPr>
          <w:p w14:paraId="268801F0">
            <w:pPr>
              <w:widowControl/>
              <w:jc w:val="center"/>
              <w:rPr>
                <w:rFonts w:ascii="宋体" w:hAnsi="宋体" w:cs="Arial"/>
                <w:color w:val="000000"/>
                <w:kern w:val="0"/>
                <w:sz w:val="20"/>
                <w:szCs w:val="20"/>
              </w:rPr>
            </w:pPr>
            <w:r>
              <w:rPr>
                <w:rFonts w:hint="eastAsia" w:ascii="宋体" w:hAnsi="宋体" w:cs="Arial"/>
                <w:color w:val="000000"/>
                <w:kern w:val="0"/>
                <w:sz w:val="20"/>
                <w:szCs w:val="20"/>
              </w:rPr>
              <w:t>实际完成值</w:t>
            </w:r>
          </w:p>
        </w:tc>
        <w:tc>
          <w:tcPr>
            <w:tcW w:w="1215" w:type="dxa"/>
            <w:tcBorders>
              <w:top w:val="single" w:color="auto" w:sz="4" w:space="0"/>
              <w:left w:val="single" w:color="auto" w:sz="4" w:space="0"/>
              <w:bottom w:val="single" w:color="auto" w:sz="4" w:space="0"/>
              <w:right w:val="single" w:color="auto" w:sz="4" w:space="0"/>
            </w:tcBorders>
            <w:shd w:val="clear" w:color="auto" w:fill="BFBFBF"/>
            <w:vAlign w:val="center"/>
          </w:tcPr>
          <w:p w14:paraId="75756001">
            <w:pPr>
              <w:widowControl/>
              <w:jc w:val="center"/>
              <w:rPr>
                <w:rFonts w:ascii="宋体" w:hAnsi="宋体" w:cs="Arial"/>
                <w:color w:val="000000"/>
                <w:kern w:val="0"/>
                <w:sz w:val="20"/>
                <w:szCs w:val="20"/>
              </w:rPr>
            </w:pPr>
            <w:r>
              <w:rPr>
                <w:rFonts w:hint="eastAsia" w:ascii="宋体" w:hAnsi="宋体" w:cs="Arial"/>
                <w:color w:val="000000"/>
                <w:kern w:val="0"/>
                <w:sz w:val="20"/>
                <w:szCs w:val="20"/>
              </w:rPr>
              <w:t>自评分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restart"/>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项目绩效实现情况（82分）</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restart"/>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决策目标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立项程序规范性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规范</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立项依据充分性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充分</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绩效目标合理性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合理</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绩效指标明确性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明确</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资金分配合理性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合理</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预算编制科学性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科学</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restart"/>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过程目标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资金到位率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预算执行率</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8</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99.98%</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7.99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资金使用合规性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合规</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制度执行有效性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有效</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管理制度健全性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健全</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restart"/>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产出目标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组织幼儿大型活动</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=4次</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6.25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4次</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6.25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校园环境创设覆盖面积</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=1500平方米</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6.25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1500平方米</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6.25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经费支出合规性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合规</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6.25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6.25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经费支出时效性</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及时</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6.25</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100%</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6.25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color="auto" w:sz="4" w:space="0"/>
              <w:left w:val="single" w:color="auto" w:sz="4" w:space="0"/>
              <w:bottom w:val="single" w:color="auto" w:sz="4" w:space="0"/>
              <w:right w:val="single" w:color="auto" w:sz="4" w:space="0"/>
            </w:tcBorders>
            <w:vAlign w:val="center"/>
          </w:tcPr>
          <w:tcPr>
            <w:vMerge w:val="continue"/>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
            </w:r>
          </w:p>
        </w:tc>
        <w:tc>
          <w:tcPr>
            <w:tcW w:w="1216"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效益目标</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幼儿活动参与人数</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&gt;=500人</w:t>
            </w:r>
          </w:p>
        </w:tc>
        <w:tc>
          <w:tcPr>
            <w:tcW w:w="1213" w:type="dxa"/>
            <w:gridSpan w:val="3"/>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30</w:t>
            </w:r>
          </w:p>
        </w:tc>
        <w:tc>
          <w:tcPr>
            <w:tcW w:w="1213" w:type="dxa"/>
            <w:gridSpan w:val="2"/>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470人</w:t>
            </w:r>
          </w:p>
        </w:tc>
        <w:tc>
          <w:tcPr>
            <w:tcW w:w="1215"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Arial"/>
                <w:color w:val="000000"/>
                <w:kern w:val="0"/>
                <w:sz w:val="20"/>
                <w:szCs w:val="20"/>
              </w:rPr>
            </w:pPr>
            <w:r>
              <w:rPr>
                <w:rFonts w:hint="eastAsia" w:ascii="宋体" w:hAnsi="宋体" w:cs="Arial"/>
                <w:color w:val="000000"/>
                <w:kern w:val="0"/>
                <w:sz w:val="20"/>
                <w:szCs w:val="20"/>
              </w:rPr>
              <w:t>21</w:t>
            </w:r>
          </w:p>
        </w:tc>
      </w:tr>
      <w:tr w14:paraId="1985E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 w:hRule="atLeast"/>
        </w:trPr>
        <w:tc>
          <w:tcPr>
            <w:tcW w:w="7286" w:type="dxa"/>
            <w:gridSpan w:val="14"/>
            <w:tcBorders>
              <w:top w:val="single" w:color="auto" w:sz="4" w:space="0"/>
              <w:left w:val="single" w:color="auto" w:sz="4" w:space="0"/>
              <w:bottom w:val="single" w:color="auto" w:sz="4" w:space="0"/>
              <w:right w:val="single" w:color="auto" w:sz="4" w:space="0"/>
            </w:tcBorders>
            <w:vAlign w:val="center"/>
          </w:tcPr>
          <w:p w14:paraId="3B8FF91B">
            <w:pPr>
              <w:widowControl/>
              <w:jc w:val="center"/>
              <w:rPr>
                <w:rFonts w:ascii="宋体" w:hAnsi="宋体" w:cs="Arial"/>
                <w:color w:val="000000"/>
                <w:kern w:val="0"/>
                <w:sz w:val="20"/>
                <w:szCs w:val="20"/>
              </w:rPr>
            </w:pPr>
            <w:r>
              <w:rPr>
                <w:rFonts w:hint="eastAsia" w:ascii="宋体" w:hAnsi="宋体" w:cs="Arial"/>
                <w:color w:val="000000"/>
                <w:kern w:val="0"/>
                <w:sz w:val="20"/>
                <w:szCs w:val="20"/>
              </w:rPr>
              <w:t>合计</w:t>
            </w:r>
          </w:p>
        </w:tc>
        <w:tc>
          <w:tcPr>
            <w:tcW w:w="1215" w:type="dxa"/>
            <w:tcBorders>
              <w:top w:val="single" w:color="auto" w:sz="4" w:space="0"/>
              <w:left w:val="single" w:color="auto" w:sz="4" w:space="0"/>
              <w:bottom w:val="single" w:color="auto" w:sz="4" w:space="0"/>
              <w:right w:val="single" w:color="auto" w:sz="4" w:space="0"/>
            </w:tcBorders>
            <w:vAlign w:val="center"/>
          </w:tcPr>
          <w:p w14:paraId="13AA0736">
            <w:pPr>
              <w:widowControl/>
              <w:jc w:val="left"/>
              <w:rPr>
                <w:rFonts w:ascii="宋体" w:hAnsi="宋体" w:cs="Arial"/>
                <w:color w:val="000000"/>
                <w:kern w:val="0"/>
                <w:sz w:val="20"/>
                <w:szCs w:val="20"/>
              </w:rPr>
            </w:pPr>
            <w:r>
              <w:rPr>
                <w:rFonts w:hint="eastAsia" w:ascii="宋体" w:hAnsi="宋体"/>
                <w:sz w:val="22"/>
              </w:rPr>
              <w:t>62.99</w:t>
            </w:r>
          </w:p>
        </w:tc>
      </w:tr>
    </w:tbl>
    <w:p w14:paraId="53E4C701"/>
    <w:tbl>
      <w:tblPr>
        <w:tblStyle w:val="5"/>
        <w:tblW w:w="8506" w:type="dxa"/>
        <w:tblInd w:w="-147" w:type="dxa"/>
        <w:tblLayout w:type="autofit"/>
        <w:tblCellMar>
          <w:top w:w="0" w:type="dxa"/>
          <w:left w:w="0" w:type="dxa"/>
          <w:bottom w:w="0" w:type="dxa"/>
          <w:right w:w="0" w:type="dxa"/>
        </w:tblCellMar>
      </w:tblPr>
      <w:tblGrid>
        <w:gridCol w:w="1547"/>
        <w:gridCol w:w="840"/>
        <w:gridCol w:w="960"/>
        <w:gridCol w:w="960"/>
        <w:gridCol w:w="960"/>
        <w:gridCol w:w="960"/>
        <w:gridCol w:w="960"/>
        <w:gridCol w:w="1319"/>
      </w:tblGrid>
      <w:tr w14:paraId="1F71ADA4">
        <w:tblPrEx>
          <w:tblCellMar>
            <w:top w:w="0" w:type="dxa"/>
            <w:left w:w="0" w:type="dxa"/>
            <w:bottom w:w="0" w:type="dxa"/>
            <w:right w:w="0" w:type="dxa"/>
          </w:tblCellMar>
        </w:tblPrEx>
        <w:tc>
          <w:tcPr>
            <w:tcW w:w="8506"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bottom w:w="0" w:type="dxa"/>
              <w:right w:w="15" w:type="dxa"/>
            </w:tcMar>
            <w:vAlign w:val="center"/>
          </w:tcPr>
          <w:p w14:paraId="76225990">
            <w:pPr>
              <w:jc w:val="center"/>
              <w:rPr>
                <w:rFonts w:cs="Arial"/>
                <w:color w:val="000000"/>
                <w:sz w:val="22"/>
              </w:rPr>
            </w:pPr>
            <w:r>
              <w:rPr>
                <w:rFonts w:hint="eastAsia" w:eastAsia="黑体"/>
                <w:color w:val="000000"/>
                <w:kern w:val="0"/>
                <w:sz w:val="21"/>
                <w:szCs w:val="21"/>
                <w:highlight w:val="yellow"/>
              </w:rPr>
              <w:t>填表说明：</w:t>
            </w:r>
            <w:r>
              <w:rPr>
                <w:rFonts w:hint="eastAsia" w:eastAsia="楷体_GB2312"/>
                <w:b/>
                <w:color w:val="000000"/>
                <w:kern w:val="0"/>
                <w:sz w:val="21"/>
                <w:szCs w:val="21"/>
                <w:highlight w:val="yellow"/>
              </w:rPr>
              <w:t>1．</w:t>
            </w:r>
            <w:r>
              <w:rPr>
                <w:rFonts w:hint="eastAsia" w:eastAsia="楷体_GB2312"/>
                <w:color w:val="000000"/>
                <w:kern w:val="0"/>
                <w:sz w:val="21"/>
                <w:szCs w:val="21"/>
                <w:highlight w:val="yellow"/>
              </w:rPr>
              <w:t>“年初预算数”填</w:t>
            </w:r>
            <w:r>
              <w:rPr>
                <w:rFonts w:hint="eastAsia" w:eastAsia="楷体_GB2312"/>
                <w:color w:val="000000"/>
                <w:kern w:val="0"/>
                <w:sz w:val="21"/>
                <w:szCs w:val="21"/>
                <w:highlight w:val="yellow"/>
                <w:lang w:eastAsia="zh-CN"/>
              </w:rPr>
              <w:t>预算批复</w:t>
            </w:r>
            <w:r>
              <w:rPr>
                <w:rFonts w:hint="eastAsia" w:eastAsia="楷体_GB2312"/>
                <w:color w:val="000000"/>
                <w:kern w:val="0"/>
                <w:sz w:val="21"/>
                <w:szCs w:val="21"/>
                <w:highlight w:val="yellow"/>
              </w:rPr>
              <w:t>数；“当年使用上年结余、结转及当年预算</w:t>
            </w:r>
            <w:r>
              <w:rPr>
                <w:rFonts w:hint="eastAsia" w:eastAsia="楷体_GB2312"/>
                <w:color w:val="000000"/>
                <w:kern w:val="0"/>
                <w:sz w:val="21"/>
                <w:szCs w:val="21"/>
                <w:highlight w:val="yellow"/>
                <w:lang w:val="en-US" w:eastAsia="zh-CN"/>
              </w:rPr>
              <w:t>追加追减</w:t>
            </w:r>
            <w:r>
              <w:rPr>
                <w:rFonts w:hint="eastAsia" w:eastAsia="楷体_GB2312"/>
                <w:color w:val="000000"/>
                <w:kern w:val="0"/>
                <w:sz w:val="21"/>
                <w:szCs w:val="21"/>
                <w:highlight w:val="yellow"/>
              </w:rPr>
              <w:t>数”填当年使用上年结余、结转数以及追加或</w:t>
            </w:r>
            <w:r>
              <w:rPr>
                <w:rFonts w:hint="eastAsia" w:eastAsia="楷体_GB2312"/>
                <w:color w:val="000000"/>
                <w:kern w:val="0"/>
                <w:sz w:val="21"/>
                <w:szCs w:val="21"/>
                <w:highlight w:val="yellow"/>
                <w:lang w:val="en-US" w:eastAsia="zh-CN"/>
              </w:rPr>
              <w:t>追减</w:t>
            </w:r>
            <w:r>
              <w:rPr>
                <w:rFonts w:hint="eastAsia" w:eastAsia="楷体_GB2312"/>
                <w:color w:val="000000"/>
                <w:kern w:val="0"/>
                <w:sz w:val="21"/>
                <w:szCs w:val="21"/>
                <w:highlight w:val="yellow"/>
              </w:rPr>
              <w:t>预算数；“财政拨款数”填财政部门实际拨付的款项数；“实际支付数”填资金实际支付到最终使用者的数额；“结转数”填结转以后年度使用的资金数；“财政收回数”填财政部门收回的资金数。指标结余数=年初预算数+当年使用上年结余、结转及当年预算</w:t>
            </w:r>
            <w:r>
              <w:rPr>
                <w:rFonts w:hint="eastAsia" w:eastAsia="楷体_GB2312"/>
                <w:color w:val="000000"/>
                <w:kern w:val="0"/>
                <w:sz w:val="21"/>
                <w:szCs w:val="21"/>
                <w:highlight w:val="yellow"/>
                <w:lang w:val="en-US" w:eastAsia="zh-CN"/>
              </w:rPr>
              <w:t>追加追减</w:t>
            </w:r>
            <w:r>
              <w:rPr>
                <w:rFonts w:hint="eastAsia" w:eastAsia="楷体_GB2312"/>
                <w:color w:val="000000"/>
                <w:kern w:val="0"/>
                <w:sz w:val="21"/>
                <w:szCs w:val="21"/>
                <w:highlight w:val="yellow"/>
              </w:rPr>
              <w:t>数-财政拨款数；</w:t>
            </w:r>
            <w:r>
              <w:rPr>
                <w:rFonts w:hint="eastAsia" w:eastAsia="楷体_GB2312"/>
                <w:color w:val="000000"/>
                <w:kern w:val="0"/>
                <w:sz w:val="21"/>
                <w:szCs w:val="21"/>
                <w:highlight w:val="yellow"/>
                <w:lang w:val="en-US" w:eastAsia="zh-CN"/>
              </w:rPr>
              <w:t>计划结余数</w:t>
            </w:r>
            <w:r>
              <w:rPr>
                <w:rFonts w:hint="eastAsia" w:eastAsia="楷体_GB2312"/>
                <w:color w:val="000000"/>
                <w:kern w:val="0"/>
                <w:sz w:val="21"/>
                <w:szCs w:val="21"/>
                <w:highlight w:val="yellow"/>
              </w:rPr>
              <w:t>=财政拨款数-实际支付数=</w:t>
            </w:r>
            <w:r>
              <w:rPr>
                <w:rFonts w:hint="eastAsia" w:eastAsia="楷体_GB2312"/>
                <w:color w:val="000000"/>
                <w:kern w:val="0"/>
                <w:sz w:val="21"/>
                <w:szCs w:val="21"/>
                <w:highlight w:val="yellow"/>
                <w:lang w:val="en-US" w:eastAsia="zh-CN"/>
              </w:rPr>
              <w:t>计划</w:t>
            </w:r>
            <w:r>
              <w:rPr>
                <w:rFonts w:hint="eastAsia" w:eastAsia="楷体_GB2312"/>
                <w:color w:val="000000"/>
                <w:kern w:val="0"/>
                <w:sz w:val="21"/>
                <w:szCs w:val="21"/>
                <w:highlight w:val="yellow"/>
              </w:rPr>
              <w:t>结转数+财政收回数。</w:t>
            </w:r>
            <w:r>
              <w:rPr>
                <w:rFonts w:hint="eastAsia" w:eastAsia="楷体_GB2312"/>
                <w:b/>
                <w:color w:val="000000"/>
                <w:kern w:val="0"/>
                <w:sz w:val="21"/>
                <w:szCs w:val="21"/>
                <w:highlight w:val="yellow"/>
                <w:lang w:val="en-US" w:eastAsia="zh-CN"/>
              </w:rPr>
              <w:t>2</w:t>
            </w:r>
            <w:r>
              <w:rPr>
                <w:rFonts w:hint="eastAsia" w:eastAsia="楷体_GB2312"/>
                <w:b/>
                <w:color w:val="000000"/>
                <w:kern w:val="0"/>
                <w:sz w:val="21"/>
                <w:szCs w:val="21"/>
                <w:highlight w:val="yellow"/>
              </w:rPr>
              <w:t>．</w:t>
            </w:r>
            <w:r>
              <w:rPr>
                <w:rFonts w:hint="eastAsia" w:eastAsia="楷体_GB2312"/>
                <w:color w:val="000000"/>
                <w:kern w:val="0"/>
                <w:sz w:val="21"/>
                <w:szCs w:val="21"/>
                <w:highlight w:val="yellow"/>
              </w:rPr>
              <w:t>“</w:t>
            </w:r>
            <w:r>
              <w:rPr>
                <w:rFonts w:hint="eastAsia" w:eastAsia="楷体_GB2312"/>
                <w:color w:val="000000"/>
                <w:kern w:val="0"/>
                <w:sz w:val="21"/>
                <w:szCs w:val="21"/>
                <w:highlight w:val="yellow"/>
                <w:lang w:eastAsia="zh-CN"/>
              </w:rPr>
              <w:t>决策</w:t>
            </w:r>
            <w:r>
              <w:rPr>
                <w:rFonts w:hint="eastAsia" w:eastAsia="楷体_GB2312"/>
                <w:color w:val="000000"/>
                <w:kern w:val="0"/>
                <w:sz w:val="21"/>
                <w:szCs w:val="21"/>
                <w:highlight w:val="yellow"/>
              </w:rPr>
              <w:t>”</w:t>
            </w:r>
            <w:r>
              <w:rPr>
                <w:rFonts w:hint="eastAsia" w:eastAsia="楷体_GB2312"/>
                <w:color w:val="000000"/>
                <w:kern w:val="0"/>
                <w:sz w:val="21"/>
                <w:szCs w:val="21"/>
                <w:highlight w:val="yellow"/>
                <w:lang w:eastAsia="zh-CN"/>
              </w:rPr>
              <w:t>、“过程”</w:t>
            </w:r>
            <w:r>
              <w:rPr>
                <w:rFonts w:hint="eastAsia" w:eastAsia="楷体_GB2312"/>
                <w:color w:val="000000"/>
                <w:kern w:val="0"/>
                <w:sz w:val="21"/>
                <w:szCs w:val="21"/>
                <w:highlight w:val="yellow"/>
              </w:rPr>
              <w:t>类指标</w:t>
            </w:r>
            <w:r>
              <w:rPr>
                <w:rFonts w:hint="eastAsia" w:eastAsia="楷体_GB2312"/>
                <w:color w:val="000000"/>
                <w:kern w:val="0"/>
                <w:sz w:val="21"/>
                <w:szCs w:val="21"/>
                <w:highlight w:val="yellow"/>
                <w:lang w:eastAsia="zh-CN"/>
              </w:rPr>
              <w:t>每个指标的权重值固定</w:t>
            </w:r>
            <w:r>
              <w:rPr>
                <w:rFonts w:hint="eastAsia" w:eastAsia="楷体_GB2312"/>
                <w:color w:val="000000"/>
                <w:kern w:val="0"/>
                <w:sz w:val="21"/>
                <w:szCs w:val="21"/>
                <w:highlight w:val="yellow"/>
              </w:rPr>
              <w:t>，“产出”、“</w:t>
            </w:r>
            <w:r>
              <w:rPr>
                <w:rFonts w:hint="eastAsia" w:eastAsia="楷体_GB2312"/>
                <w:color w:val="000000"/>
                <w:kern w:val="0"/>
                <w:sz w:val="21"/>
                <w:szCs w:val="21"/>
                <w:highlight w:val="yellow"/>
                <w:lang w:eastAsia="zh-CN"/>
              </w:rPr>
              <w:t>效益</w:t>
            </w:r>
            <w:r>
              <w:rPr>
                <w:rFonts w:hint="eastAsia" w:eastAsia="楷体_GB2312"/>
                <w:color w:val="000000"/>
                <w:kern w:val="0"/>
                <w:sz w:val="21"/>
                <w:szCs w:val="21"/>
                <w:highlight w:val="yellow"/>
              </w:rPr>
              <w:t>”、“</w:t>
            </w:r>
            <w:r>
              <w:rPr>
                <w:rFonts w:hint="eastAsia" w:eastAsia="楷体_GB2312"/>
                <w:color w:val="000000"/>
                <w:kern w:val="0"/>
                <w:sz w:val="21"/>
                <w:szCs w:val="21"/>
                <w:highlight w:val="yellow"/>
                <w:lang w:eastAsia="zh-CN"/>
              </w:rPr>
              <w:t>满意度</w:t>
            </w:r>
            <w:r>
              <w:rPr>
                <w:rFonts w:hint="eastAsia" w:eastAsia="楷体_GB2312"/>
                <w:color w:val="000000"/>
                <w:kern w:val="0"/>
                <w:sz w:val="21"/>
                <w:szCs w:val="21"/>
                <w:highlight w:val="yellow"/>
              </w:rPr>
              <w:t>”指标权重值是根据指标数量将</w:t>
            </w:r>
            <w:r>
              <w:rPr>
                <w:rFonts w:hint="eastAsia" w:eastAsia="楷体_GB2312"/>
                <w:color w:val="000000"/>
                <w:kern w:val="0"/>
                <w:sz w:val="21"/>
                <w:szCs w:val="21"/>
                <w:highlight w:val="yellow"/>
                <w:lang w:val="en-US" w:eastAsia="zh-CN"/>
              </w:rPr>
              <w:t>每类</w:t>
            </w:r>
            <w:r>
              <w:rPr>
                <w:rFonts w:hint="eastAsia" w:eastAsia="楷体_GB2312"/>
                <w:color w:val="000000"/>
                <w:kern w:val="0"/>
                <w:sz w:val="21"/>
                <w:szCs w:val="21"/>
                <w:highlight w:val="yellow"/>
                <w:lang w:eastAsia="zh-CN"/>
              </w:rPr>
              <w:t>指标总</w:t>
            </w:r>
            <w:r>
              <w:rPr>
                <w:rFonts w:hint="eastAsia" w:eastAsia="楷体_GB2312"/>
                <w:color w:val="000000"/>
                <w:kern w:val="0"/>
                <w:sz w:val="21"/>
                <w:szCs w:val="21"/>
                <w:highlight w:val="yellow"/>
              </w:rPr>
              <w:t>分值分摊到各项指标，即各项指标分值=</w:t>
            </w:r>
            <w:r>
              <w:rPr>
                <w:rFonts w:hint="eastAsia" w:eastAsia="楷体_GB2312"/>
                <w:color w:val="000000"/>
                <w:kern w:val="0"/>
                <w:sz w:val="21"/>
                <w:szCs w:val="21"/>
                <w:highlight w:val="yellow"/>
                <w:lang w:val="en-US" w:eastAsia="zh-CN"/>
              </w:rPr>
              <w:t>每类</w:t>
            </w:r>
            <w:r>
              <w:rPr>
                <w:rFonts w:hint="eastAsia" w:eastAsia="楷体_GB2312"/>
                <w:color w:val="000000"/>
                <w:kern w:val="0"/>
                <w:sz w:val="21"/>
                <w:szCs w:val="21"/>
                <w:highlight w:val="yellow"/>
                <w:lang w:eastAsia="zh-CN"/>
              </w:rPr>
              <w:t>指标</w:t>
            </w:r>
            <w:r>
              <w:rPr>
                <w:rFonts w:hint="eastAsia" w:eastAsia="楷体_GB2312"/>
                <w:color w:val="000000"/>
                <w:kern w:val="0"/>
                <w:sz w:val="21"/>
                <w:szCs w:val="21"/>
                <w:highlight w:val="yellow"/>
              </w:rPr>
              <w:t>总分值/</w:t>
            </w:r>
            <w:r>
              <w:rPr>
                <w:rFonts w:hint="eastAsia" w:eastAsia="楷体_GB2312"/>
                <w:color w:val="000000"/>
                <w:kern w:val="0"/>
                <w:sz w:val="21"/>
                <w:szCs w:val="21"/>
                <w:highlight w:val="yellow"/>
                <w:lang w:val="en-US" w:eastAsia="zh-CN"/>
              </w:rPr>
              <w:t>该类</w:t>
            </w:r>
            <w:r>
              <w:rPr>
                <w:rFonts w:hint="eastAsia" w:eastAsia="楷体_GB2312"/>
                <w:color w:val="000000"/>
                <w:kern w:val="0"/>
                <w:sz w:val="21"/>
                <w:szCs w:val="21"/>
                <w:highlight w:val="yellow"/>
              </w:rPr>
              <w:t>指标个数。</w:t>
            </w:r>
            <w:r>
              <w:rPr>
                <w:rFonts w:hint="eastAsia" w:eastAsia="楷体_GB2312"/>
                <w:b/>
                <w:color w:val="000000"/>
                <w:kern w:val="0"/>
                <w:sz w:val="21"/>
                <w:szCs w:val="21"/>
                <w:highlight w:val="yellow"/>
                <w:lang w:val="en-US" w:eastAsia="zh-CN"/>
              </w:rPr>
              <w:t>3</w:t>
            </w:r>
            <w:r>
              <w:rPr>
                <w:rFonts w:hint="eastAsia" w:eastAsia="楷体_GB2312"/>
                <w:b/>
                <w:color w:val="000000"/>
                <w:kern w:val="0"/>
                <w:sz w:val="21"/>
                <w:szCs w:val="21"/>
                <w:highlight w:val="yellow"/>
              </w:rPr>
              <w:t>．</w:t>
            </w:r>
            <w:r>
              <w:rPr>
                <w:rFonts w:hint="eastAsia" w:eastAsia="楷体_GB2312"/>
                <w:color w:val="000000"/>
                <w:kern w:val="0"/>
                <w:sz w:val="21"/>
                <w:szCs w:val="21"/>
                <w:highlight w:val="yellow"/>
              </w:rPr>
              <w:t>各项数据采集的时间节点均为202</w:t>
            </w:r>
            <w:r>
              <w:rPr>
                <w:rFonts w:hint="eastAsia" w:eastAsia="楷体_GB2312"/>
                <w:color w:val="000000"/>
                <w:kern w:val="0"/>
                <w:sz w:val="21"/>
                <w:szCs w:val="21"/>
                <w:highlight w:val="yellow"/>
                <w:lang w:val="en-US" w:eastAsia="zh-CN"/>
              </w:rPr>
              <w:t>4</w:t>
            </w:r>
            <w:r>
              <w:rPr>
                <w:rFonts w:hint="eastAsia" w:eastAsia="楷体_GB2312"/>
                <w:color w:val="000000"/>
                <w:kern w:val="0"/>
                <w:sz w:val="21"/>
                <w:szCs w:val="21"/>
                <w:highlight w:val="yellow"/>
              </w:rPr>
              <w:t>年12月31日。</w:t>
            </w:r>
            <w:r>
              <w:rPr>
                <w:rFonts w:hint="eastAsia" w:eastAsia="楷体_GB2312"/>
                <w:b/>
                <w:color w:val="000000"/>
                <w:kern w:val="0"/>
                <w:sz w:val="21"/>
                <w:szCs w:val="21"/>
                <w:highlight w:val="yellow"/>
                <w:lang w:val="en-US" w:eastAsia="zh-CN"/>
              </w:rPr>
              <w:t>4</w:t>
            </w:r>
            <w:r>
              <w:rPr>
                <w:rFonts w:hint="eastAsia" w:eastAsia="楷体_GB2312"/>
                <w:b/>
                <w:color w:val="000000"/>
                <w:kern w:val="0"/>
                <w:sz w:val="21"/>
                <w:szCs w:val="21"/>
                <w:highlight w:val="yellow"/>
              </w:rPr>
              <w:t>．</w:t>
            </w:r>
            <w:r>
              <w:rPr>
                <w:rFonts w:hint="eastAsia" w:eastAsia="楷体_GB2312"/>
                <w:color w:val="000000"/>
                <w:kern w:val="0"/>
                <w:sz w:val="21"/>
                <w:szCs w:val="21"/>
                <w:highlight w:val="yellow"/>
              </w:rPr>
              <w:t>定性指标</w:t>
            </w:r>
            <w:r>
              <w:rPr>
                <w:rFonts w:hint="eastAsia" w:eastAsia="楷体_GB2312"/>
                <w:color w:val="000000"/>
                <w:kern w:val="0"/>
                <w:sz w:val="21"/>
                <w:szCs w:val="21"/>
                <w:highlight w:val="yellow"/>
                <w:lang w:eastAsia="zh-CN"/>
              </w:rPr>
              <w:t>根据实际完成情况按照</w:t>
            </w:r>
            <w:r>
              <w:rPr>
                <w:rFonts w:hint="eastAsia" w:eastAsia="楷体_GB2312"/>
                <w:color w:val="000000"/>
                <w:kern w:val="0"/>
                <w:sz w:val="21"/>
                <w:szCs w:val="21"/>
                <w:highlight w:val="yellow"/>
              </w:rPr>
              <w:t>100%、80%、60%、40%</w:t>
            </w:r>
            <w:r>
              <w:rPr>
                <w:rFonts w:hint="eastAsia" w:eastAsia="楷体_GB2312"/>
                <w:color w:val="000000"/>
                <w:kern w:val="0"/>
                <w:sz w:val="21"/>
                <w:szCs w:val="21"/>
                <w:highlight w:val="yellow"/>
                <w:lang w:eastAsia="zh-CN"/>
              </w:rPr>
              <w:t>、</w:t>
            </w:r>
            <w:r>
              <w:rPr>
                <w:rFonts w:hint="eastAsia" w:eastAsia="楷体_GB2312"/>
                <w:color w:val="000000"/>
                <w:kern w:val="0"/>
                <w:sz w:val="21"/>
                <w:szCs w:val="21"/>
                <w:highlight w:val="yellow"/>
              </w:rPr>
              <w:t>20%</w:t>
            </w:r>
            <w:r>
              <w:rPr>
                <w:rFonts w:hint="eastAsia" w:eastAsia="楷体_GB2312"/>
                <w:color w:val="000000"/>
                <w:kern w:val="0"/>
                <w:sz w:val="21"/>
                <w:szCs w:val="21"/>
                <w:highlight w:val="yellow"/>
                <w:lang w:eastAsia="zh-CN"/>
              </w:rPr>
              <w:t>、</w:t>
            </w:r>
            <w:r>
              <w:rPr>
                <w:rFonts w:hint="eastAsia" w:eastAsia="楷体_GB2312"/>
                <w:color w:val="000000"/>
                <w:kern w:val="0"/>
                <w:sz w:val="21"/>
                <w:szCs w:val="21"/>
                <w:highlight w:val="yellow"/>
                <w:lang w:val="en-US" w:eastAsia="zh-CN"/>
              </w:rPr>
              <w:t>0六级权重予以评分</w:t>
            </w:r>
            <w:r>
              <w:rPr>
                <w:rFonts w:hint="eastAsia" w:eastAsia="楷体_GB2312"/>
                <w:color w:val="000000"/>
                <w:kern w:val="0"/>
                <w:sz w:val="21"/>
                <w:szCs w:val="21"/>
                <w:highlight w:val="yellow"/>
              </w:rPr>
              <w:t>。定量指标评分规则：“产出”类每项指标的实际完成值对应预期设定的目标值，完成100%～130%得权重值满分，超过130%的每超过1%扣权重值1%；</w:t>
            </w:r>
            <w:r>
              <w:rPr>
                <w:rFonts w:hint="eastAsia" w:eastAsia="楷体_GB2312"/>
                <w:color w:val="000000"/>
                <w:kern w:val="0"/>
                <w:sz w:val="21"/>
                <w:szCs w:val="21"/>
                <w:highlight w:val="yellow"/>
                <w:lang w:eastAsia="zh-CN"/>
              </w:rPr>
              <w:t>“决策”、</w:t>
            </w:r>
            <w:r>
              <w:rPr>
                <w:rFonts w:hint="eastAsia" w:eastAsia="楷体_GB2312"/>
                <w:color w:val="000000"/>
                <w:kern w:val="0"/>
                <w:sz w:val="21"/>
                <w:szCs w:val="21"/>
                <w:highlight w:val="yellow"/>
              </w:rPr>
              <w:t>“</w:t>
            </w:r>
            <w:r>
              <w:rPr>
                <w:rFonts w:hint="eastAsia" w:eastAsia="楷体_GB2312"/>
                <w:color w:val="000000"/>
                <w:kern w:val="0"/>
                <w:sz w:val="21"/>
                <w:szCs w:val="21"/>
                <w:highlight w:val="yellow"/>
                <w:lang w:eastAsia="zh-CN"/>
              </w:rPr>
              <w:t>过程</w:t>
            </w:r>
            <w:r>
              <w:rPr>
                <w:rFonts w:hint="eastAsia" w:eastAsia="楷体_GB2312"/>
                <w:color w:val="000000"/>
                <w:kern w:val="0"/>
                <w:sz w:val="21"/>
                <w:szCs w:val="21"/>
                <w:highlight w:val="yellow"/>
              </w:rPr>
              <w:t>”、“</w:t>
            </w:r>
            <w:r>
              <w:rPr>
                <w:rFonts w:hint="eastAsia" w:eastAsia="楷体_GB2312"/>
                <w:color w:val="000000"/>
                <w:kern w:val="0"/>
                <w:sz w:val="21"/>
                <w:szCs w:val="21"/>
                <w:highlight w:val="yellow"/>
                <w:lang w:eastAsia="zh-CN"/>
              </w:rPr>
              <w:t>满意度</w:t>
            </w:r>
            <w:r>
              <w:rPr>
                <w:rFonts w:hint="eastAsia" w:eastAsia="楷体_GB2312"/>
                <w:color w:val="000000"/>
                <w:kern w:val="0"/>
                <w:sz w:val="21"/>
                <w:szCs w:val="21"/>
                <w:highlight w:val="yellow"/>
              </w:rPr>
              <w:t>”类指标以100%为满分</w:t>
            </w:r>
            <w:r>
              <w:rPr>
                <w:rFonts w:hint="eastAsia" w:eastAsia="楷体_GB2312"/>
                <w:color w:val="000000"/>
                <w:kern w:val="0"/>
                <w:sz w:val="21"/>
                <w:szCs w:val="21"/>
                <w:highlight w:val="yellow"/>
                <w:lang w:eastAsia="zh-CN"/>
              </w:rPr>
              <w:t>；</w:t>
            </w:r>
            <w:r>
              <w:rPr>
                <w:rFonts w:hint="eastAsia" w:eastAsia="楷体_GB2312"/>
                <w:color w:val="000000"/>
                <w:kern w:val="0"/>
                <w:sz w:val="21"/>
                <w:szCs w:val="21"/>
                <w:highlight w:val="yellow"/>
              </w:rPr>
              <w:t>“</w:t>
            </w:r>
            <w:r>
              <w:rPr>
                <w:rFonts w:hint="eastAsia" w:eastAsia="楷体_GB2312"/>
                <w:color w:val="000000"/>
                <w:kern w:val="0"/>
                <w:sz w:val="21"/>
                <w:szCs w:val="21"/>
                <w:highlight w:val="yellow"/>
                <w:lang w:eastAsia="zh-CN"/>
              </w:rPr>
              <w:t>效益</w:t>
            </w:r>
            <w:r>
              <w:rPr>
                <w:rFonts w:hint="eastAsia" w:eastAsia="楷体_GB2312"/>
                <w:color w:val="000000"/>
                <w:kern w:val="0"/>
                <w:sz w:val="21"/>
                <w:szCs w:val="21"/>
                <w:highlight w:val="yellow"/>
              </w:rPr>
              <w:t>”类每项指标的实际完成值对应预期设定的目标值，完成100%～200%得权重值满分，超过200%的每超过1%扣权重值1%；</w:t>
            </w:r>
            <w:r>
              <w:rPr>
                <w:rFonts w:hint="eastAsia" w:eastAsia="楷体_GB2312"/>
                <w:color w:val="000000"/>
                <w:kern w:val="0"/>
                <w:sz w:val="21"/>
                <w:szCs w:val="21"/>
                <w:highlight w:val="yellow"/>
                <w:lang w:eastAsia="zh-CN"/>
              </w:rPr>
              <w:t>五</w:t>
            </w:r>
            <w:r>
              <w:rPr>
                <w:rFonts w:hint="eastAsia" w:eastAsia="楷体_GB2312"/>
                <w:color w:val="000000"/>
                <w:kern w:val="0"/>
                <w:sz w:val="21"/>
                <w:szCs w:val="21"/>
                <w:highlight w:val="yellow"/>
              </w:rPr>
              <w:t>类指标的所有指标实际完成值每低于目标值1个百分点相应扣减权重值的5%；某项指标无法提供具体数值，且无说明，得0分。</w:t>
            </w:r>
          </w:p>
        </w:tc>
      </w:tr>
      <w:tr w14:paraId="63191C17">
        <w:tblPrEx>
          <w:tblCellMar>
            <w:top w:w="0" w:type="dxa"/>
            <w:left w:w="0" w:type="dxa"/>
            <w:bottom w:w="0" w:type="dxa"/>
            <w:right w:w="0" w:type="dxa"/>
          </w:tblCellMar>
        </w:tblPrEx>
        <w:trPr>
          <w:trHeight w:val="450" w:hRule="atLeast"/>
        </w:trPr>
        <w:tc>
          <w:tcPr>
            <w:tcW w:w="8506" w:type="dxa"/>
            <w:gridSpan w:val="8"/>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38DB8AAC">
            <w:pPr>
              <w:jc w:val="center"/>
              <w:rPr>
                <w:rFonts w:cs="Arial"/>
                <w:b/>
                <w:bCs/>
                <w:color w:val="000000"/>
                <w:sz w:val="36"/>
                <w:szCs w:val="36"/>
              </w:rPr>
            </w:pPr>
            <w:r>
              <w:rPr>
                <w:rFonts w:hint="eastAsia" w:cs="Arial"/>
                <w:b/>
                <w:bCs/>
                <w:color w:val="000000"/>
                <w:sz w:val="36"/>
                <w:szCs w:val="36"/>
              </w:rPr>
              <w:t>项目基本情况</w:t>
            </w:r>
          </w:p>
        </w:tc>
      </w:tr>
      <w:tr w14:paraId="40F9D311">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0330E661">
            <w:pPr>
              <w:jc w:val="center"/>
              <w:rPr>
                <w:rFonts w:cs="Arial"/>
                <w:color w:val="000000"/>
                <w:sz w:val="22"/>
              </w:rPr>
            </w:pPr>
            <w:r>
              <w:rPr>
                <w:rFonts w:hint="eastAsia" w:cs="Arial"/>
                <w:color w:val="000000"/>
                <w:sz w:val="22"/>
              </w:rPr>
              <w:t>项目概况</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08BD89CE">
            <w:pPr>
              <w:jc w:val="center"/>
              <w:rPr>
                <w:rFonts w:cs="Arial"/>
                <w:color w:val="000000"/>
                <w:sz w:val="22"/>
              </w:rPr>
            </w:pPr>
            <w:r>
              <w:rPr>
                <w:rFonts w:hint="eastAsia" w:cs="Arial"/>
                <w:color w:val="000000"/>
                <w:sz w:val="22"/>
              </w:rPr>
              <w:t>为幼儿提供必需的学习、生活材料，保障教育、教学工作正常开展。</w:t>
            </w:r>
          </w:p>
        </w:tc>
      </w:tr>
      <w:tr w14:paraId="3F7D503F">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08A2DDDF">
            <w:pPr>
              <w:jc w:val="center"/>
              <w:rPr>
                <w:rFonts w:cs="Arial"/>
                <w:color w:val="000000"/>
                <w:sz w:val="22"/>
              </w:rPr>
            </w:pPr>
            <w:r>
              <w:rPr>
                <w:rFonts w:hint="eastAsia" w:cs="Arial"/>
                <w:color w:val="000000"/>
                <w:sz w:val="22"/>
              </w:rPr>
              <w:t>项目总目标</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06F46EBD">
            <w:pPr>
              <w:jc w:val="center"/>
              <w:rPr>
                <w:rFonts w:cs="Arial"/>
                <w:color w:val="000000"/>
                <w:sz w:val="22"/>
              </w:rPr>
            </w:pPr>
            <w:r>
              <w:rPr>
                <w:rFonts w:hint="eastAsia" w:cs="Arial"/>
                <w:color w:val="000000"/>
                <w:sz w:val="22"/>
              </w:rPr>
              <w:t>积极推进学前教育发展，提供保育教育水平。为学龄前幼儿提供优质保育教育服务，指导家长进行科学育儿，发挥省示范园引领辐射作用。</w:t>
            </w:r>
          </w:p>
        </w:tc>
      </w:tr>
      <w:tr w14:paraId="66FE8331">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4E03053C">
            <w:pPr>
              <w:jc w:val="center"/>
              <w:rPr>
                <w:rFonts w:cs="Arial"/>
                <w:color w:val="000000"/>
                <w:sz w:val="22"/>
              </w:rPr>
            </w:pPr>
            <w:r>
              <w:rPr>
                <w:rFonts w:hint="eastAsia" w:cs="Arial"/>
                <w:color w:val="000000"/>
                <w:sz w:val="22"/>
              </w:rPr>
              <w:t>年度绩效目标</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6E26212B">
            <w:pPr>
              <w:jc w:val="center"/>
              <w:rPr>
                <w:rFonts w:cs="Arial"/>
                <w:color w:val="000000"/>
                <w:sz w:val="22"/>
              </w:rPr>
            </w:pPr>
            <w:r>
              <w:rPr>
                <w:rFonts w:hint="eastAsia" w:cs="Arial"/>
                <w:color w:val="000000"/>
                <w:sz w:val="22"/>
              </w:rPr>
              <w:t>正常开展保育教育活动，提升幼儿语言、科学、社会、艺术、健康五大领域能力，保障幼儿身心健康发展。</w:t>
            </w:r>
          </w:p>
        </w:tc>
      </w:tr>
      <w:tr w14:paraId="1804F899">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592DBB5B">
            <w:pPr>
              <w:jc w:val="center"/>
              <w:rPr>
                <w:rFonts w:cs="Arial"/>
                <w:color w:val="000000"/>
                <w:sz w:val="22"/>
              </w:rPr>
            </w:pPr>
            <w:r>
              <w:rPr>
                <w:rFonts w:hint="eastAsia" w:cs="Arial"/>
                <w:color w:val="000000"/>
                <w:sz w:val="22"/>
              </w:rPr>
              <w:t>项目实施情况</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3C99E4F4">
            <w:pPr>
              <w:jc w:val="center"/>
              <w:rPr>
                <w:rFonts w:cs="Arial"/>
                <w:color w:val="000000"/>
                <w:sz w:val="22"/>
              </w:rPr>
            </w:pPr>
            <w:r>
              <w:rPr>
                <w:rFonts w:hint="eastAsia" w:cs="Arial"/>
                <w:color w:val="000000"/>
                <w:sz w:val="22"/>
              </w:rPr>
              <w:t>（1）深化科研强园，驱动内涵发展，保教质量实现系统性跃升。我园坚定实施“科研兴园”战略，以教育科研驱动保教工作向研究型深度转型。一是闭环管理促进教研一体，教师角色主动转变。首创并全面推行“问题识别—理论架构—实践创新—循证评估—迭代优化”的教科研闭环管理流程。全年围绕真问题开展深度教研活动46次，超过70％的专任教师深度参与，从“被动执行”转向“主动研究”。此机制有效催生了一批高质量论文与获奖案例，科研成为教师专业成长的强力引擎。二是课题格局立体优化，科研生态良性循环。以五项省、市级在研课题为牵引，构建“重点课题引领、规划课题普及、青年专项创新”的立体格局。市级规划课题《基于幼儿关键发展指标的区域活动场景支持研究》顺利结题并推广应用；省级课题《幼小衔接背景下的幼儿园体育活动内容设计与实践研究》完成扎实中期汇报。成功申报省级专项课题《“活教育”视域下幼儿园“大社区”项目课程实践研究》及市级青年课题《AI技术融入创新思维游戏对幼儿创造力培养的干预研究》，形成了梯队衔接、滚动发展的内生科研生态。三是成果转化注重实效，资源体系支撑教学。高度重视科研成果向教育实践的“零时差”转化，系统构建了五大园本资源体系。这些动态生成的资源库直接服务于一线保教工作与每一位幼儿的成长，显著提升了教育的科学性与有效性。（2）聚焦专业成长，激发内生动力，师资队伍呈现高水平发展。我园将教师队伍建设作为战略性工程，全力助推教师专业精进。一是竞赛佳绩频传，彰显团队雄厚实力。教师在各级各类专业竞赛中展现出过硬素养，累计20余人次在市级以上比赛中获奖。其中，在市数字化教学优质课大赛、直属片优秀教育活动评比、市中华经典诵写讲大赛及省学前教育学会评选活动中均有突出表现。尤其在全市机关幼儿园教师专业技能竞赛中，一名教师斩获唯一一等奖，三名教师获二等奖，充分体现了队伍的整体卓越水平。二是托育领域突破，专业支撑获高度认可。一名教师代表苏州市参加2025年全国职工托育职业技能大赛江苏选拔赛，荣获全省第四名并晋级全国总决赛。其卓越表现获得了苏州市总工会与市卫生健康委员会的联合致信感谢，肯定我园“为全市托育事业的高质量发展提供了坚实有力的人才支撑”，展现我园长期重视专业化队伍建设的成果。三是学术表达突破，科研能力稳步提升。鼓励教师进行理论思考与成果提炼，年内有2名教师的专业论文在省级教育期刊公开发表，实现了从实践者向实践反思者与经验传播者的跨越。（3）精细后勤保障，提升服务能级，膳食与安全管理臻于至善。我园致力于推动后勤保障向“精细化、专业化、人性化”迈进。一是膳食服务精益求精，守护幼儿健康成长。持续优化膳食管理，完成食堂设备更新与餐具升级。坚持“幼儿为本”营养理念，每月研发新菜品，全年成功推出羊肚菌蛋饺汤、荷香南瓜粉蒸肉等12道特色菜肴，幼儿就餐满意度保持100％。通过组织家委会考察供应商、公开食谱、参与陪餐等方式建立透明监督机制，并以优异成绩通过2025年度市托幼机构卫生保健评审。二是基础设施系统维护，保障园区高效运行。针对园舍实际情况，坚持“预防为主、治养并重”，实施屋面防水修复、排水管网改造、老旧线路更新、食堂设施维护等一系列系统性工程。全年高效处理日常维修报修单306张，对“南操场自来水管突发破裂”等紧急情况做到快速响应、连夜抢修，最大限度降低对教学影响，确保了园舍设施的稳定高效运行。（4）拓宽共育边界，汇聚教育合力，家园社协同与品牌影响同步深化。我园积极构建“家庭、幼儿园、社区”三位一体、开放共生的教育共同体。一是活动引领深化互动，家园共育实效显著。全年精心举办幼小衔接讲座、亲子运动会、毕业典礼等大型家园共育活动20余场。注重活动教育内涵与儿童立场，创新开展“幼儿迷你马拉松”、组织走进市民健身中心、联合市公安局开展“大马警官游‘园’会”沉浸式安全教育等活动，以游戏化方式提升幼儿自我保护能力，赢得了家长的高度认同与积极参与。二是社区联动履行责任，公益行动培养担当。严格落实“双报到、双服务”机制，全年组织教职工深入社区开展早期教育咨询、环境美化等志愿服务8次。联合中国青少年发展基金会开展“美丽中国”环保公益行动，14名教职工参与无偿献血，用实际行动奉献爱心、服务社会，潜移默化培养幼儿的社会责任感。三是矩阵传播讲好故事，品牌美誉持续提升。着力构建“立体矩阵传播”格局，统筹运用各类平台讲好民幼故事。全年发布园所报道、育儿科普128篇，其中被《苏州日报》、苏州广电总台等市级以上主流媒体录用30篇，并有专题登上《中国机关后勤》国家级平台。新媒体产品《大马警官游“园”会》及苏州广电专题报道有效扩大了园所的正面社会影响，品牌知名度与美誉度同步跃升。</w:t>
            </w:r>
          </w:p>
        </w:tc>
      </w:tr>
      <w:tr w14:paraId="535425DA">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7ECEFA65">
            <w:pPr>
              <w:jc w:val="center"/>
              <w:rPr>
                <w:rFonts w:cs="Arial"/>
                <w:color w:val="000000"/>
                <w:sz w:val="22"/>
              </w:rPr>
            </w:pPr>
            <w:r>
              <w:rPr>
                <w:rFonts w:hint="eastAsia" w:cs="Arial"/>
                <w:color w:val="000000"/>
                <w:sz w:val="22"/>
              </w:rPr>
              <w:t>项目管理成效</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652A2A9A">
            <w:pPr>
              <w:jc w:val="center"/>
              <w:rPr>
                <w:rFonts w:cs="Arial"/>
                <w:color w:val="000000"/>
                <w:sz w:val="22"/>
              </w:rPr>
            </w:pPr>
            <w:r>
              <w:rPr>
                <w:rFonts w:hint="eastAsia" w:cs="Arial"/>
                <w:color w:val="000000"/>
                <w:sz w:val="22"/>
              </w:rPr>
              <w:t>家长满意度调查满意率达99.8%。</w:t>
            </w:r>
          </w:p>
        </w:tc>
      </w:tr>
      <w:tr w14:paraId="0F48BD11">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44306255">
            <w:pPr>
              <w:jc w:val="center"/>
              <w:rPr>
                <w:rFonts w:cs="Arial"/>
                <w:color w:val="000000"/>
                <w:sz w:val="22"/>
              </w:rPr>
            </w:pPr>
            <w:r>
              <w:rPr>
                <w:rFonts w:hint="eastAsia" w:cs="Arial"/>
                <w:color w:val="000000"/>
                <w:sz w:val="22"/>
              </w:rPr>
              <w:t>项目管理存在的问题及原因</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65FFF646">
            <w:pPr>
              <w:jc w:val="center"/>
              <w:rPr>
                <w:rFonts w:cs="Arial"/>
                <w:color w:val="000000"/>
                <w:sz w:val="22"/>
              </w:rPr>
            </w:pPr>
            <w:r>
              <w:rPr>
                <w:rFonts w:hint="eastAsia" w:cs="Arial"/>
                <w:color w:val="000000"/>
                <w:sz w:val="22"/>
              </w:rPr>
              <w:t/>
            </w:r>
          </w:p>
        </w:tc>
      </w:tr>
      <w:tr w14:paraId="40B4A8E8">
        <w:tblPrEx>
          <w:tblCellMar>
            <w:top w:w="0" w:type="dxa"/>
            <w:left w:w="0" w:type="dxa"/>
            <w:bottom w:w="0" w:type="dxa"/>
            <w:right w:w="0" w:type="dxa"/>
          </w:tblCellMar>
        </w:tblPrEx>
        <w:tc>
          <w:tcPr>
            <w:tcW w:w="1547" w:type="dxa"/>
            <w:tcBorders>
              <w:top w:val="nil"/>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14:paraId="17E0694B">
            <w:pPr>
              <w:jc w:val="center"/>
              <w:rPr>
                <w:rFonts w:cs="Arial"/>
                <w:color w:val="000000"/>
                <w:sz w:val="22"/>
              </w:rPr>
            </w:pPr>
            <w:r>
              <w:rPr>
                <w:rFonts w:hint="eastAsia" w:cs="Arial"/>
                <w:color w:val="000000"/>
                <w:sz w:val="22"/>
              </w:rPr>
              <w:t>进一步加强项目管理的建议</w:t>
            </w:r>
          </w:p>
        </w:tc>
        <w:tc>
          <w:tcPr>
            <w:tcW w:w="6959" w:type="dxa"/>
            <w:gridSpan w:val="7"/>
            <w:tcBorders>
              <w:top w:val="single" w:color="000000" w:sz="4" w:space="0"/>
              <w:left w:val="nil"/>
              <w:bottom w:val="single" w:color="000000" w:sz="4" w:space="0"/>
              <w:right w:val="single" w:color="000000" w:sz="4" w:space="0"/>
            </w:tcBorders>
            <w:shd w:val="clear" w:color="auto" w:fill="auto"/>
            <w:tcMar>
              <w:top w:w="15" w:type="dxa"/>
              <w:left w:w="15" w:type="dxa"/>
              <w:bottom w:w="0" w:type="dxa"/>
              <w:right w:w="15" w:type="dxa"/>
            </w:tcMar>
            <w:vAlign w:val="center"/>
          </w:tcPr>
          <w:p w14:paraId="33646680">
            <w:pPr>
              <w:jc w:val="center"/>
              <w:rPr>
                <w:rFonts w:cs="Arial"/>
                <w:color w:val="000000"/>
                <w:sz w:val="22"/>
              </w:rPr>
            </w:pPr>
            <w:r>
              <w:rPr>
                <w:rFonts w:hint="eastAsia" w:cs="Arial"/>
                <w:color w:val="000000"/>
                <w:sz w:val="22"/>
              </w:rPr>
              <w:t/>
            </w:r>
          </w:p>
        </w:tc>
      </w:tr>
      <w:tr w14:paraId="2E4D67B5">
        <w:tblPrEx>
          <w:tblCellMar>
            <w:top w:w="0" w:type="dxa"/>
            <w:left w:w="0" w:type="dxa"/>
            <w:bottom w:w="0" w:type="dxa"/>
            <w:right w:w="0" w:type="dxa"/>
          </w:tblCellMar>
        </w:tblPrEx>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14:paraId="0A012AEA">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14:paraId="65EC0628">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3BBF82A4">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337DE74C">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1AA72B84">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13D79E57">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14:paraId="0B1776AD">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14:paraId="3594B98F">
            <w:pPr>
              <w:rPr>
                <w:rFonts w:ascii="Arial" w:hAnsi="Arial" w:cs="Arial"/>
                <w:vanish/>
                <w:sz w:val="20"/>
                <w:szCs w:val="20"/>
              </w:rPr>
            </w:pPr>
          </w:p>
        </w:tc>
      </w:tr>
    </w:tbl>
    <w:p w14:paraId="29E3C3C8"/>
    <w:p w14:paraId="4527BC9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2F5B2A08"/>
    <w:rsid w:val="5AE70A1F"/>
    <w:rsid w:val="70126D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link w:val="1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uiPriority w:val="99"/>
    <w:rPr>
      <w:sz w:val="18"/>
      <w:szCs w:val="18"/>
    </w:rPr>
  </w:style>
  <w:style w:type="character" w:customStyle="1" w:styleId="8">
    <w:name w:val="页脚 Char"/>
    <w:basedOn w:val="6"/>
    <w:link w:val="3"/>
    <w:uiPriority w:val="99"/>
    <w:rPr>
      <w:sz w:val="18"/>
      <w:szCs w:val="18"/>
    </w:rPr>
  </w:style>
  <w:style w:type="character" w:customStyle="1" w:styleId="9">
    <w:name w:val="闻政标题4 Char"/>
    <w:link w:val="10"/>
    <w:qFormat/>
    <w:locked/>
    <w:uiPriority w:val="0"/>
    <w:rPr>
      <w:rFonts w:ascii="仿宋_GB2312" w:eastAsia="仿宋_GB2312"/>
      <w:b/>
      <w:bCs/>
      <w:sz w:val="28"/>
      <w:szCs w:val="32"/>
    </w:rPr>
  </w:style>
  <w:style w:type="paragraph" w:customStyle="1" w:styleId="10">
    <w:name w:val="闻政标题4"/>
    <w:basedOn w:val="2"/>
    <w:link w:val="9"/>
    <w:qFormat/>
    <w:uiPriority w:val="0"/>
    <w:pPr>
      <w:spacing w:before="120" w:after="60" w:line="500" w:lineRule="exact"/>
      <w:ind w:firstLine="200" w:firstLineChars="200"/>
      <w:jc w:val="left"/>
    </w:pPr>
    <w:rPr>
      <w:rFonts w:ascii="仿宋_GB2312" w:eastAsia="仿宋_GB2312" w:hAnsiTheme="minorHAnsi" w:cstheme="minorBidi"/>
      <w:sz w:val="28"/>
    </w:rPr>
  </w:style>
  <w:style w:type="character" w:customStyle="1" w:styleId="11">
    <w:name w:val="标题 2 Char"/>
    <w:basedOn w:val="6"/>
    <w:link w:val="2"/>
    <w:semiHidden/>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theme/theme1.xml" Type="http://schemas.openxmlformats.org/officeDocument/2006/relationships/theme"/>
<Relationship Id="rId4" Target="fontTable.xml" Type="http://schemas.openxmlformats.org/officeDocument/2006/relationships/fontTabl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868</Words>
  <Characters>1418</Characters>
  <Lines>12</Lines>
  <Paragraphs>3</Paragraphs>
  <TotalTime>0</TotalTime>
  <ScaleCrop>false</ScaleCrop>
  <LinksUpToDate>false</LinksUpToDate>
  <CharactersWithSpaces>1418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2022-01-12T10:53:00Z</dcterms:created>
  <dc:creator>成 王</dc:creator>
  <cp:lastModifiedBy>木木三</cp:lastModifiedBy>
  <dcterms:modified xsi:type="dcterms:W3CDTF">2026-02-27T08:29:18Z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eyJoZGlkIjoiMmVmMTQ4NTZkNTIwMmU5ZDBhYTZhYjI1NWVjNGI1Y2IiLCJ1c2VySWQiOiIyMjg1MzQ1OTUifQ==</vt:lpwstr>
  </property>
  <property fmtid="{D5CDD505-2E9C-101B-9397-08002B2CF9AE}" pid="3" name="KSOProductBuildVer">
    <vt:lpwstr>2052-12.1.0.25225</vt:lpwstr>
  </property>
  <property fmtid="{D5CDD505-2E9C-101B-9397-08002B2CF9AE}" pid="4" name="ICV">
    <vt:lpwstr>9F669C4FED13413589140FF1E65A5D7A_12</vt:lpwstr>
  </property>
</Properties>
</file>