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编外用工经费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苏州市公园路幼儿园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135.55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135.55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135.55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131.81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3.74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3.74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135.55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131.81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编外用工人员经费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94.95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91.21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校园安保人员经费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40.6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40.6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项目绩效实现情况（82分）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97.24%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6.9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保安人数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=5人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保育员人数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=13人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13人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经费支出时效性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突发事件处置时效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重大安全事故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=0次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70.9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按教育局“二教一保”、“食堂人员配备比”“安全保障”相关规定，雇佣编外人员及安保人员，保障人员合法权益和幼儿园基础运转。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配备编外服务人员，为幼儿创建良好的卫生环境，提供合理健康的饮食，维护校园秩序。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做好日常卫生保洁，为幼儿提供“一餐两点”。重大安全事故零发生，突发事件处理及时。提升后期服务质量，保障幼儿身心健康成长。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编外保育人员能够较好地提供干净卫生的教育环境。编外食堂人员能够较好地为幼儿提供健康可口的菜肴点心。安保人员实行24小时值班巡逻，配备防暴器械，开展应急演练。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促进编外人员认真履职，较好地为幼儿提供后勤服务，保障幼儿园稳定运行。未发生重大安全事故，师生对校园安全工作满意度较高。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