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干将西路1038号集中办公区维修改造工程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苏州市机关事务管理局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20.12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1.75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18.37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18.37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1.75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1.75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20.12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工程尾款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16.62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厨房设备尾款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维修改造服务面积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=13620平方米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13620平方米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完成厨房设备尾款支付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维修改造验收合格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维修改造采购总周期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大楼安全等级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满足市统战系统办公需求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单位入住率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大楼维护管理机制健全性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使用单位满意度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57.75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项目已于2024年竣工验收完成，预计2025年完成财务决算后支付项目尾款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保障机关正常运行，满足办公需求。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保障机关正常运行，满足办公需求。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因2025年下半年恰逢全省工程建设领域专项审计，该项目被抽中审计，所有项目资料被审计组调走，财务决算工作无法正常进行，2025年未能完成财务决算，故尾款未能支付。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按时送财务决算审计。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未能按计划完成财务决算。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加强对集建单位的督促，确保按时完成财务决算工作。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