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专项租赁费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苏州市机关事务管理局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920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4562.31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5400.85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81.46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81.46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5400.85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5400.85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920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838.5352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人才公寓租赁费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312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312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周转房租赁费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149.9545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便民服务中心租赁费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210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178.5807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生态环境局租赁费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198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198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98.5%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租赁任务完成率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租赁任务达标率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租赁完成及时性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租赁保障满足率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71.4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办公业务用房集中统租及周转防租赁费用，保障各单位办公业务正常开展，同时通过调剂置换等方式逐步压减房产租赁。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办公业务用房集中统租及周转防租赁费用，保障各单位办公业务正常开展，同时通过调剂置换等方式逐步压减房产租赁。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办公业务用房集中统租及周转防租赁费用，保障各单位办公业务正常开展，同时通过调剂置换等方式逐步压减房产租赁。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2025年起，实施市级党政机关办公用房租赁集中统一管理，相关经费统一列入市机关事务管理局本级预算。本项目年初预算为920万元，2025年“二下”后，另有4562.31万元划转至局本级预算，项目预算总金额为5482.31万元。2025年，市机关事务管理局进一步规范办公用房租赁，在保障各单位正常运转的同时，通过调剂置换等方式压减房产租赁规模，节约经费支出。截至2025年底，该项目总支出为5400.85万元，节约81.46万元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2025年，市机关事务管理局进一步规范办公用房租赁，在保障各单位正常运转的同时，通过调剂置换等方式压减房产租赁规模，节约经费支出。截至2025年底，该项目总支出为5400.85万元，节约81.46万元。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暂无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暂无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