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公车运行经费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1753.1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-1141.85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611.25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611.25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611.25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1753.1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611.25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公车运行费用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1403.1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608.05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公车管理费用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保障公车数量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=351辆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351辆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保障公车正常运行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好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公车管理节约增效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节约经费增加效能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实际支付金额较预算大幅下降，节约成效明显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42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保障机关（参公）单位公车运行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保障机关（参公）单位公车运行相关经费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保障机关（参公）单位公车运行相关经费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进一步规范公车运行维保行为，保障机关（参公）单位公车安全稳定运行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严格公务运维经费支付审核，在保障公车安全稳定运行的同时，节约成效显著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暂无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