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公共机构节能经费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123.31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6.69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123.31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123.31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123.31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公共机构节能办工作经费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公共机构节能改造经费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99.06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完成节能改造项目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工作任务完成率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工作条件保障满足率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采用节能环保建筑材料，倡导绿色健康环保理念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节能环保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节能环保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通过合同能源管理、节能技术改造、宣传培训等，持续提升公共机构能源资源利用效率与绿色低碳运行水平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保障公共机构节能办工作经费和公共机构节能改造经费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保障公共机构节能办工作经费和公共机构节能改造经费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严格按照年度预算与工作方案推进节能工作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有效提升公共机构节能管理水平，实现资金使用规范、节能水平提升、管理持续优化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